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B1" w:rsidRDefault="00584C15">
      <w:pPr>
        <w:ind w:firstLineChars="750" w:firstLine="3313"/>
        <w:rPr>
          <w:b/>
          <w:bCs/>
          <w:sz w:val="44"/>
          <w:szCs w:val="44"/>
        </w:rPr>
      </w:pPr>
      <w:bookmarkStart w:id="0" w:name="_GoBack"/>
      <w:bookmarkEnd w:id="0"/>
      <w:r>
        <w:rPr>
          <w:rFonts w:hint="eastAsia"/>
          <w:b/>
          <w:bCs/>
          <w:sz w:val="44"/>
          <w:szCs w:val="44"/>
        </w:rPr>
        <w:t>通</w:t>
      </w:r>
      <w:r>
        <w:rPr>
          <w:rFonts w:hint="eastAsia"/>
          <w:b/>
          <w:bCs/>
          <w:sz w:val="44"/>
          <w:szCs w:val="44"/>
        </w:rPr>
        <w:t xml:space="preserve">  </w:t>
      </w:r>
      <w:r>
        <w:rPr>
          <w:rFonts w:hint="eastAsia"/>
          <w:b/>
          <w:bCs/>
          <w:sz w:val="44"/>
          <w:szCs w:val="44"/>
        </w:rPr>
        <w:t>知</w:t>
      </w:r>
    </w:p>
    <w:p w:rsidR="00A416B1" w:rsidRDefault="000F1C56">
      <w:pPr>
        <w:spacing w:line="360" w:lineRule="auto"/>
        <w:rPr>
          <w:rFonts w:ascii="仿宋" w:eastAsia="仿宋" w:hAnsi="仿宋" w:cs="仿宋"/>
          <w:b/>
          <w:sz w:val="28"/>
          <w:szCs w:val="28"/>
          <w:u w:val="single"/>
        </w:rPr>
      </w:pPr>
      <w:r>
        <w:rPr>
          <w:rFonts w:ascii="仿宋" w:eastAsia="仿宋" w:hAnsi="仿宋" w:cs="仿宋" w:hint="eastAsia"/>
          <w:b/>
          <w:sz w:val="28"/>
          <w:szCs w:val="28"/>
          <w:u w:val="single"/>
        </w:rPr>
        <w:t>苏州欣祺装饰工程有限公司</w:t>
      </w:r>
      <w:r w:rsidR="00584C15">
        <w:rPr>
          <w:rFonts w:ascii="仿宋" w:eastAsia="仿宋" w:hAnsi="仿宋" w:cs="仿宋" w:hint="eastAsia"/>
          <w:b/>
          <w:sz w:val="28"/>
          <w:szCs w:val="28"/>
          <w:u w:val="single"/>
        </w:rPr>
        <w:t>法定代表人、股东 、监事、财务负责人、高级管理人员等：</w:t>
      </w:r>
    </w:p>
    <w:p w:rsidR="00A416B1" w:rsidRDefault="004E33D5" w:rsidP="004E33D5">
      <w:pPr>
        <w:spacing w:line="280" w:lineRule="exact"/>
        <w:ind w:firstLineChars="200" w:firstLine="480"/>
        <w:rPr>
          <w:rFonts w:ascii="仿宋" w:eastAsia="仿宋" w:hAnsi="仿宋" w:cs="仿宋"/>
          <w:sz w:val="24"/>
        </w:rPr>
      </w:pPr>
      <w:r w:rsidRPr="004E33D5">
        <w:rPr>
          <w:rFonts w:ascii="仿宋" w:eastAsia="仿宋" w:hAnsi="仿宋" w:hint="eastAsia"/>
          <w:sz w:val="24"/>
        </w:rPr>
        <w:t>2023年 9月26日，张家港市人民法院作出了（2023）苏0582破申</w:t>
      </w:r>
      <w:r w:rsidR="000F1C56">
        <w:rPr>
          <w:rFonts w:ascii="仿宋" w:eastAsia="仿宋" w:hAnsi="仿宋" w:hint="eastAsia"/>
          <w:sz w:val="24"/>
        </w:rPr>
        <w:t>124</w:t>
      </w:r>
      <w:r w:rsidRPr="004E33D5">
        <w:rPr>
          <w:rFonts w:ascii="仿宋" w:eastAsia="仿宋" w:hAnsi="仿宋" w:hint="eastAsia"/>
          <w:sz w:val="24"/>
        </w:rPr>
        <w:t>号民事裁定书，裁定受理</w:t>
      </w:r>
      <w:r w:rsidR="000F1C56">
        <w:rPr>
          <w:rFonts w:ascii="仿宋" w:eastAsia="仿宋" w:hAnsi="仿宋" w:hint="eastAsia"/>
          <w:sz w:val="24"/>
        </w:rPr>
        <w:t>胡永雄对苏州欣祺装饰工程有限公司</w:t>
      </w:r>
      <w:r w:rsidRPr="004E33D5">
        <w:rPr>
          <w:rFonts w:ascii="仿宋" w:eastAsia="仿宋" w:hAnsi="仿宋" w:hint="eastAsia"/>
          <w:sz w:val="24"/>
        </w:rPr>
        <w:t>的破产清算申请，并于同日作出了（2023）苏0582破</w:t>
      </w:r>
      <w:r w:rsidR="000F1C56">
        <w:rPr>
          <w:rFonts w:ascii="仿宋" w:eastAsia="仿宋" w:hAnsi="仿宋" w:hint="eastAsia"/>
          <w:sz w:val="24"/>
        </w:rPr>
        <w:t>115</w:t>
      </w:r>
      <w:r w:rsidRPr="004E33D5">
        <w:rPr>
          <w:rFonts w:ascii="仿宋" w:eastAsia="仿宋" w:hAnsi="仿宋" w:hint="eastAsia"/>
          <w:sz w:val="24"/>
        </w:rPr>
        <w:t>号决定书，指定江苏圣益律师事务所为管理人</w:t>
      </w:r>
      <w:r w:rsidRPr="004E33D5">
        <w:rPr>
          <w:rFonts w:ascii="仿宋" w:eastAsia="仿宋" w:hAnsi="仿宋"/>
          <w:sz w:val="24"/>
        </w:rPr>
        <w:t>。</w:t>
      </w:r>
      <w:r w:rsidR="00584C15">
        <w:rPr>
          <w:rFonts w:ascii="仿宋" w:eastAsia="仿宋" w:hAnsi="仿宋" w:cs="仿宋" w:hint="eastAsia"/>
          <w:sz w:val="24"/>
        </w:rPr>
        <w:t>根据相关法律规定，</w:t>
      </w:r>
      <w:r w:rsidR="00584C15">
        <w:rPr>
          <w:rFonts w:ascii="仿宋" w:eastAsia="仿宋" w:hAnsi="仿宋" w:hint="eastAsia"/>
          <w:sz w:val="24"/>
        </w:rPr>
        <w:t>贵方应及时向管理人移交债权人公司财产、印章和账簿、文书等资料。</w:t>
      </w:r>
      <w:r w:rsidR="00584C15">
        <w:rPr>
          <w:rFonts w:ascii="仿宋" w:eastAsia="仿宋" w:hAnsi="仿宋" w:cs="仿宋" w:hint="eastAsia"/>
          <w:sz w:val="24"/>
        </w:rPr>
        <w:t>现管理人通知你配合管理人进行债务人破产清算，向管理人移交包括但不限于如下材料：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1、印章类：包括债务人公章、法定代表人人名章、财务专用章、合同专用章、发票专用章、部门／分支机构专用章等；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2、证照类：包括营业执照、信用机构代码证、贷款卡、银行账户开户许可证、外汇登记证等资质证书及土地房产权属证书、车辆登记证、知识产权等权属凭证；</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3、公司文书和重大合同类：包括公司设立文件、工商材料、章程、股东协议、股东会决议、管理制度、内部会议记录以及各类经营性合同等资料；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4、财务账册类：包括会计凭证、会计报表、日记账、各科目明细账、审计评估报告、银行账户资料、网银U盾及密码、金税盘及密码、库存现金、票据、有价证券等财务资料；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5、人事档案类：包括职工花名册、欠付劳动报酬、社保等劳动债权清单、劳动仲裁文书、劳动合同、社保资料等人事档案资料；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6、诉讼及行政处罚类：诉讼仲裁案件材料及相关文书、</w:t>
      </w:r>
      <w:r>
        <w:rPr>
          <w:rFonts w:ascii="仿宋" w:eastAsia="仿宋" w:hAnsi="仿宋" w:cs="宋体" w:hint="eastAsia"/>
          <w:sz w:val="24"/>
        </w:rPr>
        <w:t>倪氏纸业</w:t>
      </w:r>
      <w:r>
        <w:rPr>
          <w:rFonts w:ascii="仿宋" w:eastAsia="仿宋" w:hAnsi="仿宋" w:hint="eastAsia"/>
          <w:sz w:val="24"/>
        </w:rPr>
        <w:t>公司受到行政处罚的文件或整改文件等；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7、资产类：对外债权、机器设备清单、办公设备清单、车辆清单、存货清单、知识产权、对外投资、特许经营权等；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8、负债类：包括金融机构融资、供应商欠款、民间借贷、税款以及其他负债资料；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9、其他类：在上述各类资料之外的、对破产程序有价值的其他资料；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cs="仿宋" w:hint="eastAsia"/>
          <w:kern w:val="44"/>
          <w:sz w:val="24"/>
        </w:rPr>
        <w:t>根据法院、管理人的要求进行工作，回答管理人的询问等。</w:t>
      </w:r>
    </w:p>
    <w:p w:rsidR="00A416B1" w:rsidRDefault="00584C15">
      <w:pPr>
        <w:spacing w:line="280" w:lineRule="exact"/>
        <w:ind w:firstLineChars="200" w:firstLine="480"/>
        <w:rPr>
          <w:rFonts w:ascii="仿宋" w:eastAsia="仿宋" w:hAnsi="仿宋"/>
          <w:b/>
          <w:i/>
          <w:sz w:val="24"/>
          <w:u w:val="single"/>
        </w:rPr>
      </w:pPr>
      <w:r>
        <w:rPr>
          <w:rFonts w:ascii="仿宋" w:eastAsia="仿宋" w:hAnsi="仿宋" w:hint="eastAsia"/>
          <w:sz w:val="24"/>
        </w:rPr>
        <w:t>上述证照账册等资料，关系到债务人破产清算工作的正常进行。为此，现特通知您，</w:t>
      </w:r>
      <w:r>
        <w:rPr>
          <w:rFonts w:ascii="仿宋" w:eastAsia="仿宋" w:hAnsi="仿宋" w:hint="eastAsia"/>
          <w:b/>
          <w:i/>
          <w:sz w:val="24"/>
          <w:u w:val="single"/>
        </w:rPr>
        <w:t>请您在接本通知后5日内</w:t>
      </w:r>
      <w:r>
        <w:rPr>
          <w:rFonts w:ascii="仿宋" w:eastAsia="仿宋" w:hAnsi="仿宋" w:cs="仿宋" w:hint="eastAsia"/>
          <w:b/>
          <w:i/>
          <w:sz w:val="24"/>
          <w:u w:val="single"/>
        </w:rPr>
        <w:t>履行本通知和人民法院通知书中所列明的义务，</w:t>
      </w:r>
      <w:r>
        <w:rPr>
          <w:rFonts w:ascii="仿宋" w:eastAsia="仿宋" w:hAnsi="仿宋" w:hint="eastAsia"/>
          <w:b/>
          <w:i/>
          <w:sz w:val="24"/>
          <w:u w:val="single"/>
        </w:rPr>
        <w:t>向管理人移交上述资料，逾期未提交的，根据《企业破产法》第15条、第126条、第127条相关规定，您将承担相应的法律后果。如导致管理人无法进行清算，法定代表人、股东等清算义务人应按照《公司法》的相关规定向债权人承担损害赔偿责任。</w:t>
      </w:r>
    </w:p>
    <w:p w:rsidR="00A416B1" w:rsidRDefault="00A416B1">
      <w:pPr>
        <w:spacing w:line="280" w:lineRule="exact"/>
        <w:ind w:firstLineChars="200" w:firstLine="480"/>
        <w:rPr>
          <w:rFonts w:ascii="仿宋" w:eastAsia="仿宋" w:hAnsi="仿宋"/>
          <w:sz w:val="24"/>
        </w:rPr>
      </w:pP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特此通知。</w:t>
      </w:r>
    </w:p>
    <w:p w:rsidR="00A416B1" w:rsidRDefault="00A416B1">
      <w:pPr>
        <w:spacing w:line="280" w:lineRule="exact"/>
        <w:rPr>
          <w:rFonts w:ascii="仿宋" w:eastAsia="仿宋" w:hAnsi="仿宋" w:cs="仿宋"/>
          <w:sz w:val="28"/>
          <w:szCs w:val="28"/>
        </w:rPr>
      </w:pPr>
    </w:p>
    <w:p w:rsidR="00A416B1" w:rsidRDefault="000F1C56" w:rsidP="00584C15">
      <w:pPr>
        <w:spacing w:line="280" w:lineRule="exact"/>
        <w:ind w:firstLineChars="1700" w:firstLine="4080"/>
        <w:rPr>
          <w:rFonts w:ascii="仿宋" w:eastAsia="仿宋" w:hAnsi="仿宋" w:cs="仿宋"/>
          <w:kern w:val="44"/>
          <w:sz w:val="24"/>
        </w:rPr>
      </w:pPr>
      <w:r>
        <w:rPr>
          <w:rFonts w:ascii="仿宋" w:eastAsia="仿宋" w:hAnsi="仿宋" w:hint="eastAsia"/>
          <w:sz w:val="24"/>
        </w:rPr>
        <w:t>苏州欣祺装饰工程有限公司</w:t>
      </w:r>
      <w:r w:rsidR="00584C15">
        <w:rPr>
          <w:rFonts w:ascii="仿宋" w:eastAsia="仿宋" w:hAnsi="仿宋" w:cs="仿宋" w:hint="eastAsia"/>
          <w:kern w:val="44"/>
          <w:sz w:val="24"/>
        </w:rPr>
        <w:t>管理人</w:t>
      </w:r>
    </w:p>
    <w:p w:rsidR="00A416B1" w:rsidRDefault="00584C15">
      <w:pPr>
        <w:spacing w:line="280" w:lineRule="exact"/>
        <w:ind w:firstLineChars="2100" w:firstLine="5040"/>
        <w:rPr>
          <w:rFonts w:ascii="仿宋" w:eastAsia="仿宋" w:hAnsi="仿宋" w:cs="仿宋"/>
          <w:kern w:val="44"/>
          <w:sz w:val="24"/>
        </w:rPr>
      </w:pPr>
      <w:r>
        <w:rPr>
          <w:rFonts w:ascii="仿宋" w:eastAsia="仿宋" w:hAnsi="仿宋" w:cs="仿宋" w:hint="eastAsia"/>
          <w:kern w:val="44"/>
          <w:sz w:val="24"/>
        </w:rPr>
        <w:t>2023年9月28日</w:t>
      </w:r>
    </w:p>
    <w:p w:rsidR="00A416B1" w:rsidRDefault="00A416B1">
      <w:pPr>
        <w:spacing w:line="360" w:lineRule="exact"/>
        <w:rPr>
          <w:rFonts w:ascii="仿宋" w:eastAsia="仿宋" w:hAnsi="仿宋" w:cs="仿宋"/>
          <w:kern w:val="44"/>
          <w:sz w:val="24"/>
        </w:rPr>
      </w:pPr>
    </w:p>
    <w:p w:rsidR="00A416B1" w:rsidRDefault="00584C15">
      <w:pPr>
        <w:spacing w:line="360" w:lineRule="exact"/>
        <w:rPr>
          <w:rFonts w:ascii="仿宋" w:eastAsia="仿宋" w:hAnsi="仿宋" w:cs="仿宋"/>
          <w:kern w:val="44"/>
          <w:sz w:val="24"/>
        </w:rPr>
      </w:pPr>
      <w:r>
        <w:rPr>
          <w:rFonts w:ascii="仿宋" w:eastAsia="仿宋" w:hAnsi="仿宋" w:cs="仿宋" w:hint="eastAsia"/>
          <w:kern w:val="44"/>
          <w:sz w:val="24"/>
        </w:rPr>
        <w:t>管理人联系方式：常熟市黄河路18号江苏圣益律事务所</w:t>
      </w:r>
    </w:p>
    <w:p w:rsidR="00A416B1" w:rsidRDefault="00584C15">
      <w:pPr>
        <w:spacing w:line="360" w:lineRule="exact"/>
        <w:ind w:firstLineChars="850" w:firstLine="2040"/>
        <w:rPr>
          <w:rFonts w:ascii="仿宋" w:eastAsia="仿宋" w:hAnsi="仿宋"/>
          <w:sz w:val="24"/>
        </w:rPr>
      </w:pPr>
      <w:r>
        <w:rPr>
          <w:rFonts w:ascii="仿宋" w:eastAsia="仿宋" w:hAnsi="仿宋" w:cs="仿宋" w:hint="eastAsia"/>
          <w:kern w:val="44"/>
          <w:sz w:val="24"/>
        </w:rPr>
        <w:t>孙丽娟律师    13862423488</w:t>
      </w:r>
    </w:p>
    <w:p w:rsidR="00A416B1" w:rsidRDefault="00A416B1">
      <w:pPr>
        <w:jc w:val="left"/>
        <w:rPr>
          <w:rFonts w:ascii="仿宋" w:eastAsia="仿宋" w:hAnsi="仿宋" w:cs="仿宋"/>
          <w:kern w:val="44"/>
          <w:sz w:val="24"/>
        </w:rPr>
      </w:pPr>
    </w:p>
    <w:p w:rsidR="00A416B1" w:rsidRDefault="00A416B1">
      <w:pPr>
        <w:jc w:val="left"/>
        <w:rPr>
          <w:rFonts w:ascii="仿宋" w:eastAsia="仿宋" w:hAnsi="仿宋" w:cs="仿宋"/>
          <w:kern w:val="44"/>
          <w:sz w:val="24"/>
        </w:rPr>
      </w:pPr>
    </w:p>
    <w:p w:rsidR="00A416B1" w:rsidRDefault="00584C15">
      <w:pPr>
        <w:jc w:val="left"/>
        <w:rPr>
          <w:sz w:val="24"/>
        </w:rPr>
      </w:pPr>
      <w:r>
        <w:rPr>
          <w:rFonts w:ascii="仿宋" w:eastAsia="仿宋" w:hAnsi="仿宋" w:cs="仿宋" w:hint="eastAsia"/>
          <w:kern w:val="44"/>
          <w:sz w:val="24"/>
        </w:rPr>
        <w:lastRenderedPageBreak/>
        <w:t>附：相关法律规定</w:t>
      </w:r>
    </w:p>
    <w:p w:rsidR="00A416B1" w:rsidRDefault="00A416B1">
      <w:pPr>
        <w:ind w:firstLine="1000"/>
        <w:jc w:val="left"/>
        <w:textAlignment w:val="center"/>
        <w:rPr>
          <w:rFonts w:ascii="仿宋" w:eastAsia="仿宋" w:hAnsi="仿宋" w:cs="仿宋"/>
          <w:b/>
          <w:color w:val="006699"/>
          <w:sz w:val="24"/>
        </w:rPr>
      </w:pPr>
    </w:p>
    <w:p w:rsidR="00A416B1" w:rsidRDefault="00584C15">
      <w:pPr>
        <w:ind w:firstLineChars="200" w:firstLine="482"/>
        <w:jc w:val="left"/>
        <w:textAlignment w:val="center"/>
        <w:rPr>
          <w:rFonts w:ascii="仿宋" w:eastAsia="仿宋" w:hAnsi="仿宋" w:cs="仿宋"/>
          <w:b/>
          <w:color w:val="000000" w:themeColor="text1"/>
          <w:sz w:val="24"/>
        </w:rPr>
      </w:pPr>
      <w:r>
        <w:rPr>
          <w:rFonts w:ascii="仿宋" w:eastAsia="仿宋" w:hAnsi="仿宋" w:cs="仿宋" w:hint="eastAsia"/>
          <w:b/>
          <w:color w:val="000000" w:themeColor="text1"/>
          <w:sz w:val="24"/>
        </w:rPr>
        <w:t>中华人民共和国企业破产法（2006）（节选）</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第十五条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自人民法院受理破产申请的裁定送达债务人之日起至破产程序终结之 日，债务人的有关人员承担下列义务：（一）妥善保定其占有和管理的财产、印章和帐簿、文书等资料；（二）根据人民法院、管理人的要求进行工作，并如实回答询问；（三）列席债权人会议并如实回答债权人的询问；（四）未经人民法院许可，不得离开住所地；（五）不得新任其它企业的董事、监事、高级管理人员。</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前款所称相关人员，是指企业的法定代表人；经人民法院决定，可以包括企业的财务管理人员和其它经营管理人员。</w:t>
      </w:r>
    </w:p>
    <w:p w:rsidR="00A416B1" w:rsidRDefault="00584C15">
      <w:pPr>
        <w:ind w:firstLineChars="200" w:firstLine="480"/>
        <w:jc w:val="left"/>
        <w:textAlignment w:val="center"/>
        <w:rPr>
          <w:rFonts w:ascii="仿宋" w:eastAsia="仿宋" w:hAnsi="仿宋" w:cs="仿宋"/>
          <w:sz w:val="24"/>
        </w:rPr>
      </w:pPr>
      <w:r>
        <w:rPr>
          <w:rFonts w:ascii="仿宋" w:eastAsia="仿宋" w:hAnsi="仿宋" w:cs="仿宋" w:hint="eastAsia"/>
          <w:color w:val="000000"/>
          <w:sz w:val="24"/>
        </w:rPr>
        <w:t>第一百二十六条</w:t>
      </w:r>
    </w:p>
    <w:p w:rsidR="00A416B1" w:rsidRDefault="00584C15">
      <w:pPr>
        <w:ind w:firstLineChars="200" w:firstLine="480"/>
        <w:jc w:val="left"/>
        <w:textAlignment w:val="center"/>
        <w:rPr>
          <w:sz w:val="24"/>
        </w:rPr>
      </w:pPr>
      <w:r>
        <w:rPr>
          <w:rFonts w:ascii="仿宋" w:eastAsia="仿宋" w:hAnsi="仿宋" w:cs="仿宋" w:hint="eastAsia"/>
          <w:color w:val="000000"/>
          <w:sz w:val="24"/>
        </w:rPr>
        <w:t>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rsidR="00A416B1" w:rsidRDefault="00A416B1">
      <w:pPr>
        <w:ind w:firstLine="217"/>
        <w:jc w:val="left"/>
        <w:rPr>
          <w:sz w:val="24"/>
        </w:rPr>
      </w:pP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第一百二十七条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债务人违反本法规定，拒不向管理人移交财产、印章和账簿、文书等资料的，或者伪造、销毁有关财产证据材料而使财产状况不明的，人民法院可以对直接责任人员依法处以罚款。</w:t>
      </w:r>
    </w:p>
    <w:p w:rsidR="00A416B1" w:rsidRDefault="00584C15">
      <w:pPr>
        <w:jc w:val="left"/>
        <w:textAlignment w:val="center"/>
        <w:rPr>
          <w:rFonts w:ascii="仿宋" w:eastAsia="仿宋" w:hAnsi="仿宋" w:cs="仿宋"/>
          <w:color w:val="000000"/>
          <w:sz w:val="24"/>
        </w:rPr>
      </w:pPr>
      <w:r>
        <w:rPr>
          <w:rFonts w:ascii="仿宋" w:eastAsia="仿宋" w:hAnsi="仿宋" w:cs="仿宋" w:hint="eastAsia"/>
          <w:color w:val="000000"/>
          <w:sz w:val="24"/>
        </w:rPr>
        <w:t xml:space="preserve">    </w:t>
      </w:r>
    </w:p>
    <w:p w:rsidR="00A416B1" w:rsidRDefault="00584C15">
      <w:pPr>
        <w:ind w:firstLineChars="200" w:firstLine="482"/>
        <w:jc w:val="left"/>
        <w:textAlignment w:val="center"/>
        <w:rPr>
          <w:rFonts w:ascii="仿宋" w:eastAsia="仿宋" w:hAnsi="仿宋"/>
          <w:sz w:val="24"/>
        </w:rPr>
      </w:pPr>
      <w:r>
        <w:rPr>
          <w:rFonts w:ascii="仿宋" w:eastAsia="仿宋" w:hAnsi="仿宋" w:hint="eastAsia"/>
          <w:b/>
          <w:sz w:val="24"/>
        </w:rPr>
        <w:t>《最高人民法院关于债权人对人员下落不明或者财产状况不清的债务人申请破产清算案件如何处理的批复》（法释［2008］10号）</w:t>
      </w:r>
      <w:r>
        <w:rPr>
          <w:rFonts w:ascii="仿宋" w:eastAsia="仿宋" w:hAnsi="仿宋" w:hint="eastAsia"/>
          <w:sz w:val="24"/>
        </w:rPr>
        <w:t>第3款之规定：债务人的有关人员不履行法定义务，人民法院可依据有关法律规定追究其相应法律责任；其行为导致无法清算或者造成损失，有关权利人起诉请求其承担相应民事责任的，人民法院应依法予以支持。</w:t>
      </w:r>
    </w:p>
    <w:p w:rsidR="00A416B1" w:rsidRDefault="00A416B1">
      <w:pPr>
        <w:ind w:firstLineChars="200" w:firstLine="480"/>
        <w:jc w:val="left"/>
        <w:textAlignment w:val="center"/>
        <w:rPr>
          <w:rFonts w:ascii="仿宋" w:eastAsia="仿宋" w:hAnsi="仿宋"/>
          <w:sz w:val="24"/>
        </w:rPr>
      </w:pPr>
    </w:p>
    <w:p w:rsidR="00A416B1" w:rsidRDefault="00584C15">
      <w:pPr>
        <w:ind w:firstLineChars="200" w:firstLine="482"/>
        <w:jc w:val="left"/>
        <w:textAlignment w:val="center"/>
        <w:rPr>
          <w:rFonts w:ascii="仿宋" w:eastAsia="仿宋" w:hAnsi="仿宋" w:cs="仿宋"/>
          <w:color w:val="000000"/>
          <w:sz w:val="24"/>
        </w:rPr>
      </w:pPr>
      <w:r>
        <w:rPr>
          <w:rFonts w:ascii="仿宋" w:eastAsia="仿宋" w:hAnsi="仿宋" w:hint="eastAsia"/>
          <w:b/>
          <w:sz w:val="24"/>
        </w:rPr>
        <w:t>《全国法院民商事审判工作会议纪要》（法（2019）254号）之规定</w:t>
      </w:r>
      <w:r>
        <w:rPr>
          <w:rFonts w:ascii="仿宋" w:eastAsia="仿宋" w:hAnsi="仿宋" w:hint="eastAsia"/>
          <w:sz w:val="24"/>
        </w:rPr>
        <w:t>：“有关权利人起诉请求其承担相应民事责任”，系指“管理人请求上述主体承担相应损害赔偿责任并将因此获得的赔偿归入债务人财产。管理人未主张上述赔偿，个别债权人可以代表全体债权人提起上述诉讼。”</w:t>
      </w:r>
    </w:p>
    <w:sectPr w:rsidR="00A416B1" w:rsidSect="00A416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E1YmU4OWExOTVmMjIwZWY4NWE5YjY4OGE3ODE1ZTIifQ=="/>
  </w:docVars>
  <w:rsids>
    <w:rsidRoot w:val="5FA34210"/>
    <w:rsid w:val="000F1C56"/>
    <w:rsid w:val="00121B36"/>
    <w:rsid w:val="002A5F1A"/>
    <w:rsid w:val="00355C47"/>
    <w:rsid w:val="003D1B7F"/>
    <w:rsid w:val="00432478"/>
    <w:rsid w:val="004E33D5"/>
    <w:rsid w:val="00584C15"/>
    <w:rsid w:val="00606F1E"/>
    <w:rsid w:val="006118FD"/>
    <w:rsid w:val="00635915"/>
    <w:rsid w:val="00664320"/>
    <w:rsid w:val="008B0C41"/>
    <w:rsid w:val="008D78B5"/>
    <w:rsid w:val="00A30659"/>
    <w:rsid w:val="00A416B1"/>
    <w:rsid w:val="00B4088E"/>
    <w:rsid w:val="00C5447E"/>
    <w:rsid w:val="00D96C21"/>
    <w:rsid w:val="00E200F7"/>
    <w:rsid w:val="0DCD1019"/>
    <w:rsid w:val="104650B3"/>
    <w:rsid w:val="199806FD"/>
    <w:rsid w:val="2107263D"/>
    <w:rsid w:val="2B852ADC"/>
    <w:rsid w:val="33947D60"/>
    <w:rsid w:val="3D8263F1"/>
    <w:rsid w:val="3EB47508"/>
    <w:rsid w:val="408C0982"/>
    <w:rsid w:val="430A3B9B"/>
    <w:rsid w:val="44C61D43"/>
    <w:rsid w:val="48DB23B8"/>
    <w:rsid w:val="4D263A4F"/>
    <w:rsid w:val="4DAA332E"/>
    <w:rsid w:val="5B1E5FDD"/>
    <w:rsid w:val="5FA34210"/>
    <w:rsid w:val="62913539"/>
    <w:rsid w:val="68C5729B"/>
    <w:rsid w:val="714300F4"/>
    <w:rsid w:val="7AA55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6B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16B1"/>
    <w:pPr>
      <w:tabs>
        <w:tab w:val="center" w:pos="4153"/>
        <w:tab w:val="right" w:pos="8306"/>
      </w:tabs>
      <w:snapToGrid w:val="0"/>
      <w:jc w:val="left"/>
    </w:pPr>
    <w:rPr>
      <w:sz w:val="18"/>
      <w:szCs w:val="18"/>
    </w:rPr>
  </w:style>
  <w:style w:type="paragraph" w:styleId="a4">
    <w:name w:val="header"/>
    <w:basedOn w:val="a"/>
    <w:link w:val="Char0"/>
    <w:rsid w:val="00A416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416B1"/>
    <w:rPr>
      <w:rFonts w:ascii="Calibri" w:eastAsia="宋体" w:hAnsi="Calibri" w:cs="Times New Roman"/>
      <w:kern w:val="2"/>
      <w:sz w:val="18"/>
      <w:szCs w:val="18"/>
    </w:rPr>
  </w:style>
  <w:style w:type="character" w:customStyle="1" w:styleId="Char">
    <w:name w:val="页脚 Char"/>
    <w:basedOn w:val="a0"/>
    <w:link w:val="a3"/>
    <w:rsid w:val="00A416B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1792</Words>
  <Characters>106</Characters>
  <Application>Microsoft Office Word</Application>
  <DocSecurity>0</DocSecurity>
  <Lines>1</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Ygl</dc:creator>
  <cp:lastModifiedBy>Administrator</cp:lastModifiedBy>
  <cp:revision>12</cp:revision>
  <cp:lastPrinted>2023-09-24T11:02:00Z</cp:lastPrinted>
  <dcterms:created xsi:type="dcterms:W3CDTF">2023-06-08T09:43:00Z</dcterms:created>
  <dcterms:modified xsi:type="dcterms:W3CDTF">2023-10-04T10:07:00Z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FA0D85E3F793444884A2DBBA16D1A9A2_13</vt:lpwstr>
  </property>
</Properties>
</file>