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  <w:lang w:eastAsia="zh-CN"/>
        </w:rPr>
        <w:t>苏州萃智新技术开发有限公司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破产财产分配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方案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表决结果</w:t>
      </w:r>
    </w:p>
    <w:p>
      <w:pPr>
        <w:jc w:val="both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各债权人：</w:t>
      </w:r>
    </w:p>
    <w:p>
      <w:pPr>
        <w:ind w:firstLine="600" w:firstLineChars="200"/>
        <w:jc w:val="both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管理人于2022年10月14日向有表决权的7家债权人书面寄送了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破产财产分配方案和表决票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表决截止时间为2022年10月29日，截止目前管理人共收回4张表决票，其余3家未在表决期内提交表决票视为弃权。管理人对表决票所列债权人对应的债权人数和债权数额进行了统计，现将表决结果公布如下：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>表决赞成的债权人数占总债权人数的57.14%；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 xml:space="preserve">       表决赞成债权数额占无担保债权总额的62.51%。</w:t>
      </w:r>
    </w:p>
    <w:p>
      <w:pPr>
        <w:ind w:firstLine="600" w:firstLineChars="200"/>
        <w:jc w:val="left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根据债权人会议表决规则和</w:t>
      </w:r>
      <w:r>
        <w:rPr>
          <w:rFonts w:hint="eastAsia"/>
          <w:b w:val="0"/>
          <w:bCs/>
          <w:sz w:val="30"/>
          <w:szCs w:val="30"/>
        </w:rPr>
        <w:t>非现场债权人会议召开及表决规则</w:t>
      </w:r>
      <w:r>
        <w:rPr>
          <w:rFonts w:hint="eastAsia"/>
          <w:b w:val="0"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破产财产分配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方案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由债权人表决通过，管理人将向苏州市虎丘区人民法院申请裁定认可《苏州萃智新技术开发有限公司破产财产分配方案》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，并制作《苏州萃智新技术开发有限公司破产财产分配实施方案》实施分配。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特此通知。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</w:t>
      </w:r>
    </w:p>
    <w:p>
      <w:pPr>
        <w:ind w:firstLine="600" w:firstLineChars="200"/>
        <w:jc w:val="left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         2022年10月31日</w:t>
      </w:r>
    </w:p>
    <w:p>
      <w:pPr>
        <w:jc w:val="both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DE5ODBjNGJmOTk1NzhmM2YyNzExZTI1YzkwMjMifQ=="/>
  </w:docVars>
  <w:rsids>
    <w:rsidRoot w:val="00000000"/>
    <w:rsid w:val="0E5E0ECA"/>
    <w:rsid w:val="3B020CC9"/>
    <w:rsid w:val="46F767D4"/>
    <w:rsid w:val="4A1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349</Characters>
  <Lines>0</Lines>
  <Paragraphs>0</Paragraphs>
  <TotalTime>7</TotalTime>
  <ScaleCrop>false</ScaleCrop>
  <LinksUpToDate>false</LinksUpToDate>
  <CharactersWithSpaces>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2021-12-29T05:40:00Z</dcterms:created>
  <dc:creator>sheng</dc:creator>
  <cp:lastModifiedBy>翟律师18900612368</cp:lastModifiedBy>
  <dcterms:modified xsi:type="dcterms:W3CDTF">2022-10-31T02:03:05Z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A7B9B4A6020E4B1098D9C34CAB516286</vt:lpwstr>
  </property>
</Properties>
</file>