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1F6" w:rsidRDefault="000C41D1">
      <w:pPr>
        <w:ind w:firstLineChars="550" w:firstLine="1767"/>
        <w:rPr>
          <w:rFonts w:asciiTheme="majorEastAsia" w:eastAsiaTheme="majorEastAsia" w:hAnsiTheme="majorEastAsia"/>
          <w:b/>
          <w:sz w:val="32"/>
          <w:szCs w:val="32"/>
        </w:rPr>
      </w:pPr>
      <w:r>
        <w:rPr>
          <w:rFonts w:asciiTheme="majorEastAsia" w:eastAsiaTheme="majorEastAsia" w:hAnsiTheme="majorEastAsia" w:hint="eastAsia"/>
          <w:b/>
          <w:sz w:val="32"/>
          <w:szCs w:val="32"/>
        </w:rPr>
        <w:t>常熟展业汽车零部件科技有限公司</w:t>
      </w:r>
    </w:p>
    <w:p w:rsidR="003C61F6" w:rsidRDefault="000C41D1">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破产财产</w:t>
      </w:r>
      <w:r w:rsidR="00C07223">
        <w:rPr>
          <w:rFonts w:asciiTheme="majorEastAsia" w:eastAsiaTheme="majorEastAsia" w:hAnsiTheme="majorEastAsia" w:hint="eastAsia"/>
          <w:b/>
          <w:sz w:val="32"/>
          <w:szCs w:val="32"/>
        </w:rPr>
        <w:t>具体</w:t>
      </w:r>
      <w:r>
        <w:rPr>
          <w:rFonts w:asciiTheme="majorEastAsia" w:eastAsiaTheme="majorEastAsia" w:hAnsiTheme="majorEastAsia" w:hint="eastAsia"/>
          <w:b/>
          <w:sz w:val="32"/>
          <w:szCs w:val="32"/>
        </w:rPr>
        <w:t>分配</w:t>
      </w:r>
      <w:r w:rsidR="00477C0E">
        <w:rPr>
          <w:rFonts w:asciiTheme="majorEastAsia" w:eastAsiaTheme="majorEastAsia" w:hAnsiTheme="majorEastAsia" w:hint="eastAsia"/>
          <w:b/>
          <w:sz w:val="32"/>
          <w:szCs w:val="32"/>
        </w:rPr>
        <w:t>实施通知</w:t>
      </w:r>
    </w:p>
    <w:p w:rsidR="003C61F6" w:rsidRDefault="00477C0E">
      <w:pPr>
        <w:spacing w:line="480" w:lineRule="exact"/>
        <w:ind w:leftChars="-100" w:left="-210" w:rightChars="-150" w:right="-315" w:firstLineChars="200" w:firstLine="482"/>
        <w:rPr>
          <w:rFonts w:asciiTheme="minorEastAsia" w:hAnsiTheme="minorEastAsia"/>
          <w:b/>
          <w:sz w:val="24"/>
          <w:szCs w:val="24"/>
        </w:rPr>
      </w:pPr>
      <w:r>
        <w:rPr>
          <w:rFonts w:asciiTheme="minorEastAsia" w:hAnsiTheme="minorEastAsia" w:hint="eastAsia"/>
          <w:b/>
          <w:sz w:val="24"/>
          <w:szCs w:val="24"/>
        </w:rPr>
        <w:t>各债权人</w:t>
      </w:r>
      <w:r w:rsidR="000C41D1">
        <w:rPr>
          <w:rFonts w:asciiTheme="minorEastAsia" w:hAnsiTheme="minorEastAsia" w:hint="eastAsia"/>
          <w:b/>
          <w:sz w:val="24"/>
          <w:szCs w:val="24"/>
        </w:rPr>
        <w:t>：</w:t>
      </w:r>
    </w:p>
    <w:p w:rsidR="003C61F6" w:rsidRDefault="000C41D1">
      <w:pPr>
        <w:spacing w:line="480" w:lineRule="exact"/>
        <w:ind w:leftChars="-100" w:left="-210" w:rightChars="-150" w:right="-315" w:firstLineChars="200" w:firstLine="480"/>
        <w:rPr>
          <w:rFonts w:asciiTheme="minorEastAsia" w:hAnsiTheme="minorEastAsia"/>
          <w:sz w:val="24"/>
          <w:szCs w:val="24"/>
        </w:rPr>
      </w:pPr>
      <w:r>
        <w:rPr>
          <w:rFonts w:asciiTheme="minorEastAsia" w:hAnsiTheme="minorEastAsia" w:hint="eastAsia"/>
          <w:sz w:val="24"/>
          <w:szCs w:val="24"/>
        </w:rPr>
        <w:t>2021年1月4日，常熟市人民法院作出（2021）苏0581破1号民事裁定书，裁定受理苏州彩威橡塑材料有限公司对常熟展业汽车零部件科技有限公司（以下简称“展业汽车公司”）的破产清算申请，并指定江苏圣益律师事务所为展业汽车公司的管理人。</w:t>
      </w:r>
    </w:p>
    <w:p w:rsidR="003C61F6" w:rsidRDefault="000C41D1">
      <w:pPr>
        <w:spacing w:line="480" w:lineRule="exact"/>
        <w:ind w:leftChars="-100" w:left="-210" w:rightChars="-150" w:right="-315" w:firstLineChars="200" w:firstLine="480"/>
        <w:rPr>
          <w:rFonts w:asciiTheme="minorEastAsia" w:hAnsiTheme="minorEastAsia"/>
          <w:sz w:val="24"/>
          <w:szCs w:val="24"/>
        </w:rPr>
      </w:pPr>
      <w:r>
        <w:rPr>
          <w:rFonts w:asciiTheme="minorEastAsia" w:hAnsiTheme="minorEastAsia" w:hint="eastAsia"/>
          <w:sz w:val="24"/>
          <w:szCs w:val="24"/>
        </w:rPr>
        <w:t>管理人在接受指定后，在法院的监督指导下勤勉尽职地履行了管理人职责，已完成了展业汽车公司大部分的破产清算工作，并</w:t>
      </w:r>
      <w:r>
        <w:rPr>
          <w:rFonts w:ascii="宋体" w:hAnsi="宋体" w:hint="eastAsia"/>
          <w:sz w:val="24"/>
          <w:szCs w:val="24"/>
        </w:rPr>
        <w:t>依据《中华人民共和国企业破产法》第一百十三条、第一百十四条、第一百十五条的规定，</w:t>
      </w:r>
      <w:r>
        <w:rPr>
          <w:rFonts w:asciiTheme="minorEastAsia" w:hAnsiTheme="minorEastAsia" w:hint="eastAsia"/>
          <w:sz w:val="24"/>
          <w:szCs w:val="24"/>
        </w:rPr>
        <w:t>制作了《常熟展业汽车零部件科技有限公司财产分配方案》，经第三次债权人会议审议并表决通过，并于2022年3月7日经常熟市人民法院裁定认可。</w:t>
      </w:r>
    </w:p>
    <w:p w:rsidR="003C61F6" w:rsidRDefault="000C41D1">
      <w:pPr>
        <w:spacing w:line="480" w:lineRule="exact"/>
        <w:ind w:leftChars="-100" w:left="-210" w:rightChars="-150" w:right="-315" w:firstLineChars="200" w:firstLine="480"/>
        <w:rPr>
          <w:rFonts w:asciiTheme="minorEastAsia" w:hAnsiTheme="minorEastAsia"/>
          <w:sz w:val="24"/>
          <w:szCs w:val="24"/>
        </w:rPr>
      </w:pPr>
      <w:r>
        <w:rPr>
          <w:rFonts w:asciiTheme="minorEastAsia" w:hAnsiTheme="minorEastAsia" w:hint="eastAsia"/>
          <w:sz w:val="24"/>
          <w:szCs w:val="24"/>
        </w:rPr>
        <w:t>现根据《常熟展业汽车零部件科技有限公司财产分配方案》对截止2022年6月15日接管到的展业公司的破产财产进行分配。</w:t>
      </w:r>
    </w:p>
    <w:p w:rsidR="003C61F6" w:rsidRDefault="000C41D1">
      <w:pPr>
        <w:pStyle w:val="a6"/>
        <w:numPr>
          <w:ilvl w:val="0"/>
          <w:numId w:val="1"/>
        </w:numPr>
        <w:spacing w:line="480" w:lineRule="exact"/>
        <w:ind w:rightChars="-150" w:right="-315" w:firstLineChars="0"/>
        <w:rPr>
          <w:rFonts w:asciiTheme="minorEastAsia" w:hAnsiTheme="minorEastAsia"/>
          <w:sz w:val="24"/>
          <w:szCs w:val="24"/>
        </w:rPr>
      </w:pPr>
      <w:r>
        <w:rPr>
          <w:rFonts w:ascii="宋体" w:hAnsi="宋体" w:hint="eastAsia"/>
          <w:b/>
          <w:sz w:val="24"/>
          <w:szCs w:val="24"/>
        </w:rPr>
        <w:t>分配原则</w:t>
      </w:r>
    </w:p>
    <w:p w:rsidR="003C61F6" w:rsidRDefault="000C41D1">
      <w:pPr>
        <w:spacing w:line="480" w:lineRule="exact"/>
        <w:ind w:left="241" w:rightChars="-150" w:right="-315"/>
        <w:rPr>
          <w:rFonts w:ascii="宋体" w:hAnsi="宋体"/>
          <w:sz w:val="24"/>
          <w:szCs w:val="24"/>
        </w:rPr>
      </w:pPr>
      <w:r>
        <w:rPr>
          <w:rFonts w:ascii="宋体" w:hAnsi="宋体" w:hint="eastAsia"/>
          <w:sz w:val="24"/>
          <w:szCs w:val="24"/>
        </w:rPr>
        <w:t>本次分配遵循公平、公正、有序的原则，严格依照相关法律、法规及司法解释进</w:t>
      </w:r>
    </w:p>
    <w:p w:rsidR="003C61F6" w:rsidRDefault="000C41D1">
      <w:pPr>
        <w:spacing w:line="480" w:lineRule="exact"/>
        <w:ind w:rightChars="-150" w:right="-315"/>
        <w:rPr>
          <w:rFonts w:asciiTheme="minorEastAsia" w:hAnsiTheme="minorEastAsia"/>
          <w:sz w:val="24"/>
          <w:szCs w:val="24"/>
        </w:rPr>
      </w:pPr>
      <w:r>
        <w:rPr>
          <w:rFonts w:ascii="宋体" w:hAnsi="宋体" w:hint="eastAsia"/>
          <w:sz w:val="24"/>
          <w:szCs w:val="24"/>
        </w:rPr>
        <w:t>行分配。</w:t>
      </w:r>
    </w:p>
    <w:p w:rsidR="003C61F6" w:rsidRDefault="000C41D1">
      <w:pPr>
        <w:spacing w:line="480" w:lineRule="exact"/>
        <w:ind w:rightChars="-150" w:right="-315" w:firstLineChars="100" w:firstLine="241"/>
        <w:rPr>
          <w:rFonts w:asciiTheme="minorEastAsia" w:hAnsiTheme="minorEastAsia"/>
          <w:b/>
          <w:sz w:val="24"/>
          <w:szCs w:val="24"/>
        </w:rPr>
      </w:pPr>
      <w:r>
        <w:rPr>
          <w:rFonts w:asciiTheme="minorEastAsia" w:hAnsiTheme="minorEastAsia" w:hint="eastAsia"/>
          <w:b/>
          <w:sz w:val="24"/>
          <w:szCs w:val="24"/>
        </w:rPr>
        <w:t>二、参加破产财产分配的债权情况及金额</w:t>
      </w:r>
    </w:p>
    <w:p w:rsidR="003C61F6" w:rsidRDefault="000C41D1">
      <w:pPr>
        <w:spacing w:line="480" w:lineRule="exact"/>
        <w:ind w:leftChars="-100" w:left="-210" w:rightChars="-150" w:right="-315" w:firstLineChars="200" w:firstLine="480"/>
        <w:rPr>
          <w:rFonts w:asciiTheme="minorEastAsia" w:hAnsiTheme="minorEastAsia"/>
          <w:sz w:val="24"/>
          <w:szCs w:val="24"/>
        </w:rPr>
      </w:pPr>
      <w:r>
        <w:rPr>
          <w:rFonts w:asciiTheme="minorEastAsia" w:hAnsiTheme="minorEastAsia" w:hint="eastAsia"/>
          <w:sz w:val="24"/>
          <w:szCs w:val="24"/>
        </w:rPr>
        <w:t>经管理人审核并经常熟市人民法院（2021）苏0581破1号之一民事裁定书依法裁定确认：国家税务总局常熟市税务局等15家（含职工债权）债权人的债权金额共计1493913.27元。其中，武艳梅等49名职工的职工债权金额为275397元；税务债权1家，债权金额为22918.94元；普通债权14家（含国家税务总局常熟市税务局），债权金额为1195597.33元（详见《常熟展业汽车零部件科技有限公司破产清算债权表》）。</w:t>
      </w:r>
    </w:p>
    <w:p w:rsidR="003C61F6" w:rsidRDefault="000C41D1">
      <w:pPr>
        <w:spacing w:line="480" w:lineRule="exact"/>
        <w:ind w:leftChars="-100" w:left="-210" w:rightChars="-150" w:right="-315" w:firstLineChars="200" w:firstLine="482"/>
        <w:rPr>
          <w:rFonts w:asciiTheme="minorEastAsia" w:hAnsiTheme="minorEastAsia"/>
          <w:b/>
          <w:sz w:val="24"/>
          <w:szCs w:val="24"/>
        </w:rPr>
      </w:pPr>
      <w:r>
        <w:rPr>
          <w:rFonts w:asciiTheme="minorEastAsia" w:hAnsiTheme="minorEastAsia" w:hint="eastAsia"/>
          <w:b/>
          <w:sz w:val="24"/>
          <w:szCs w:val="24"/>
        </w:rPr>
        <w:t>三、可供分配的破产财产总额</w:t>
      </w:r>
    </w:p>
    <w:p w:rsidR="003C61F6" w:rsidRDefault="000C41D1">
      <w:pPr>
        <w:spacing w:line="480" w:lineRule="exact"/>
        <w:ind w:leftChars="-100" w:left="-210" w:rightChars="-150" w:right="-315" w:firstLineChars="200" w:firstLine="480"/>
        <w:rPr>
          <w:rFonts w:asciiTheme="minorEastAsia" w:hAnsiTheme="minorEastAsia"/>
          <w:sz w:val="24"/>
          <w:szCs w:val="24"/>
        </w:rPr>
      </w:pPr>
      <w:r>
        <w:rPr>
          <w:rFonts w:asciiTheme="minorEastAsia" w:hAnsiTheme="minorEastAsia" w:hint="eastAsia"/>
          <w:sz w:val="24"/>
          <w:szCs w:val="24"/>
        </w:rPr>
        <w:t>1、截至2022年6月15日，展业汽车公司财产总额为210543.73元，明细如下：</w:t>
      </w:r>
    </w:p>
    <w:tbl>
      <w:tblPr>
        <w:tblStyle w:val="a5"/>
        <w:tblW w:w="8472" w:type="dxa"/>
        <w:tblLayout w:type="fixed"/>
        <w:tblLook w:val="04A0"/>
      </w:tblPr>
      <w:tblGrid>
        <w:gridCol w:w="959"/>
        <w:gridCol w:w="5245"/>
        <w:gridCol w:w="2268"/>
      </w:tblGrid>
      <w:tr w:rsidR="003C61F6" w:rsidTr="00EA7973">
        <w:tc>
          <w:tcPr>
            <w:tcW w:w="959" w:type="dxa"/>
          </w:tcPr>
          <w:p w:rsidR="003C61F6" w:rsidRDefault="000C41D1">
            <w:pPr>
              <w:spacing w:line="460" w:lineRule="exact"/>
              <w:rPr>
                <w:rFonts w:asciiTheme="minorEastAsia" w:hAnsiTheme="minorEastAsia"/>
                <w:spacing w:val="-20"/>
                <w:kern w:val="0"/>
                <w:sz w:val="24"/>
                <w:szCs w:val="24"/>
              </w:rPr>
            </w:pPr>
            <w:r>
              <w:rPr>
                <w:rFonts w:asciiTheme="minorEastAsia" w:hAnsiTheme="minorEastAsia" w:hint="eastAsia"/>
                <w:spacing w:val="-20"/>
                <w:kern w:val="0"/>
                <w:sz w:val="24"/>
                <w:szCs w:val="24"/>
              </w:rPr>
              <w:t>序号</w:t>
            </w:r>
          </w:p>
        </w:tc>
        <w:tc>
          <w:tcPr>
            <w:tcW w:w="5245" w:type="dxa"/>
          </w:tcPr>
          <w:p w:rsidR="003C61F6" w:rsidRDefault="000C41D1">
            <w:pPr>
              <w:spacing w:line="460" w:lineRule="exact"/>
              <w:jc w:val="center"/>
              <w:rPr>
                <w:rFonts w:asciiTheme="minorEastAsia" w:hAnsiTheme="minorEastAsia"/>
                <w:kern w:val="0"/>
                <w:sz w:val="24"/>
                <w:szCs w:val="24"/>
              </w:rPr>
            </w:pPr>
            <w:r>
              <w:rPr>
                <w:rFonts w:asciiTheme="minorEastAsia" w:hAnsiTheme="minorEastAsia" w:hint="eastAsia"/>
                <w:kern w:val="0"/>
                <w:sz w:val="24"/>
                <w:szCs w:val="24"/>
              </w:rPr>
              <w:t>项目</w:t>
            </w:r>
          </w:p>
        </w:tc>
        <w:tc>
          <w:tcPr>
            <w:tcW w:w="2268" w:type="dxa"/>
          </w:tcPr>
          <w:p w:rsidR="003C61F6" w:rsidRDefault="000C41D1">
            <w:pPr>
              <w:spacing w:line="460" w:lineRule="exact"/>
              <w:rPr>
                <w:rFonts w:asciiTheme="minorEastAsia" w:hAnsiTheme="minorEastAsia"/>
                <w:spacing w:val="-20"/>
                <w:kern w:val="0"/>
                <w:sz w:val="24"/>
                <w:szCs w:val="24"/>
              </w:rPr>
            </w:pPr>
            <w:r>
              <w:rPr>
                <w:rFonts w:asciiTheme="minorEastAsia" w:hAnsiTheme="minorEastAsia" w:hint="eastAsia"/>
                <w:spacing w:val="-20"/>
                <w:kern w:val="0"/>
                <w:sz w:val="24"/>
                <w:szCs w:val="24"/>
              </w:rPr>
              <w:t>金额（人民币/元）</w:t>
            </w:r>
          </w:p>
        </w:tc>
      </w:tr>
      <w:tr w:rsidR="003C61F6" w:rsidTr="00EA7973">
        <w:tc>
          <w:tcPr>
            <w:tcW w:w="959"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1</w:t>
            </w:r>
          </w:p>
        </w:tc>
        <w:tc>
          <w:tcPr>
            <w:tcW w:w="5245"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展业汽车公司银行帐户余额转入</w:t>
            </w:r>
          </w:p>
        </w:tc>
        <w:tc>
          <w:tcPr>
            <w:tcW w:w="2268"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508.65</w:t>
            </w:r>
          </w:p>
        </w:tc>
      </w:tr>
      <w:tr w:rsidR="003C61F6" w:rsidTr="00EA7973">
        <w:trPr>
          <w:trHeight w:val="634"/>
        </w:trPr>
        <w:tc>
          <w:tcPr>
            <w:tcW w:w="959"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2</w:t>
            </w:r>
          </w:p>
        </w:tc>
        <w:tc>
          <w:tcPr>
            <w:tcW w:w="5245"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催收到的应收款</w:t>
            </w:r>
          </w:p>
        </w:tc>
        <w:tc>
          <w:tcPr>
            <w:tcW w:w="2268" w:type="dxa"/>
          </w:tcPr>
          <w:p w:rsidR="003C61F6" w:rsidRDefault="000C41D1">
            <w:pPr>
              <w:spacing w:line="460" w:lineRule="exact"/>
              <w:rPr>
                <w:rFonts w:asciiTheme="minorEastAsia" w:hAnsiTheme="minorEastAsia"/>
                <w:kern w:val="0"/>
                <w:sz w:val="24"/>
                <w:szCs w:val="24"/>
              </w:rPr>
            </w:pPr>
            <w:r>
              <w:rPr>
                <w:rFonts w:asciiTheme="minorEastAsia" w:hAnsiTheme="minorEastAsia" w:cs="Times New Roman" w:hint="eastAsia"/>
                <w:kern w:val="0"/>
                <w:sz w:val="24"/>
                <w:szCs w:val="24"/>
              </w:rPr>
              <w:t>10000</w:t>
            </w:r>
          </w:p>
        </w:tc>
      </w:tr>
      <w:tr w:rsidR="003C61F6" w:rsidTr="00EA7973">
        <w:trPr>
          <w:trHeight w:val="634"/>
        </w:trPr>
        <w:tc>
          <w:tcPr>
            <w:tcW w:w="959"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3</w:t>
            </w:r>
          </w:p>
        </w:tc>
        <w:tc>
          <w:tcPr>
            <w:tcW w:w="5245" w:type="dxa"/>
          </w:tcPr>
          <w:p w:rsidR="003C61F6" w:rsidRDefault="000C41D1" w:rsidP="00C07223">
            <w:pPr>
              <w:spacing w:line="460" w:lineRule="exact"/>
              <w:rPr>
                <w:rFonts w:asciiTheme="minorEastAsia" w:hAnsiTheme="minorEastAsia"/>
                <w:kern w:val="0"/>
                <w:sz w:val="24"/>
                <w:szCs w:val="24"/>
              </w:rPr>
            </w:pPr>
            <w:r>
              <w:rPr>
                <w:rFonts w:asciiTheme="minorEastAsia" w:hAnsiTheme="minorEastAsia" w:hint="eastAsia"/>
                <w:kern w:val="0"/>
                <w:sz w:val="24"/>
                <w:szCs w:val="24"/>
              </w:rPr>
              <w:t>向股东追收回出资款</w:t>
            </w:r>
            <w:r w:rsidR="00C07223">
              <w:rPr>
                <w:rFonts w:asciiTheme="minorEastAsia" w:hAnsiTheme="minorEastAsia" w:hint="eastAsia"/>
                <w:kern w:val="0"/>
                <w:sz w:val="24"/>
                <w:szCs w:val="24"/>
              </w:rPr>
              <w:t>（周冬20万元已全部履行，董济雄80万</w:t>
            </w:r>
            <w:r w:rsidR="006D41F9">
              <w:rPr>
                <w:rFonts w:asciiTheme="minorEastAsia" w:hAnsiTheme="minorEastAsia" w:hint="eastAsia"/>
                <w:kern w:val="0"/>
                <w:sz w:val="24"/>
                <w:szCs w:val="24"/>
              </w:rPr>
              <w:t>元</w:t>
            </w:r>
            <w:r w:rsidR="00C07223">
              <w:rPr>
                <w:rFonts w:asciiTheme="minorEastAsia" w:hAnsiTheme="minorEastAsia" w:hint="eastAsia"/>
                <w:kern w:val="0"/>
                <w:sz w:val="24"/>
                <w:szCs w:val="24"/>
              </w:rPr>
              <w:t>、刘士广60万</w:t>
            </w:r>
            <w:r w:rsidR="006D41F9">
              <w:rPr>
                <w:rFonts w:asciiTheme="minorEastAsia" w:hAnsiTheme="minorEastAsia" w:hint="eastAsia"/>
                <w:kern w:val="0"/>
                <w:sz w:val="24"/>
                <w:szCs w:val="24"/>
              </w:rPr>
              <w:t>元</w:t>
            </w:r>
            <w:r w:rsidR="00C07223">
              <w:rPr>
                <w:rFonts w:asciiTheme="minorEastAsia" w:hAnsiTheme="minorEastAsia" w:hint="eastAsia"/>
                <w:kern w:val="0"/>
                <w:sz w:val="24"/>
                <w:szCs w:val="24"/>
              </w:rPr>
              <w:t>、尹承涛40万</w:t>
            </w:r>
            <w:r w:rsidR="006D41F9">
              <w:rPr>
                <w:rFonts w:asciiTheme="minorEastAsia" w:hAnsiTheme="minorEastAsia" w:hint="eastAsia"/>
                <w:kern w:val="0"/>
                <w:sz w:val="24"/>
                <w:szCs w:val="24"/>
              </w:rPr>
              <w:t>元</w:t>
            </w:r>
            <w:r w:rsidR="00C07223">
              <w:rPr>
                <w:rFonts w:asciiTheme="minorEastAsia" w:hAnsiTheme="minorEastAsia" w:hint="eastAsia"/>
                <w:kern w:val="0"/>
                <w:sz w:val="24"/>
                <w:szCs w:val="24"/>
              </w:rPr>
              <w:t>均未履行，目前仍在执行中）</w:t>
            </w:r>
          </w:p>
        </w:tc>
        <w:tc>
          <w:tcPr>
            <w:tcW w:w="2268" w:type="dxa"/>
          </w:tcPr>
          <w:p w:rsidR="003C61F6" w:rsidRDefault="000C41D1">
            <w:pPr>
              <w:spacing w:line="460" w:lineRule="exact"/>
              <w:rPr>
                <w:rFonts w:asciiTheme="minorEastAsia" w:hAnsiTheme="minorEastAsia" w:cs="Times New Roman"/>
                <w:kern w:val="0"/>
                <w:sz w:val="24"/>
                <w:szCs w:val="24"/>
              </w:rPr>
            </w:pPr>
            <w:r>
              <w:rPr>
                <w:rFonts w:asciiTheme="minorEastAsia" w:hAnsiTheme="minorEastAsia" w:cs="Times New Roman" w:hint="eastAsia"/>
                <w:kern w:val="0"/>
                <w:sz w:val="24"/>
                <w:szCs w:val="24"/>
              </w:rPr>
              <w:t>200000</w:t>
            </w:r>
          </w:p>
        </w:tc>
      </w:tr>
      <w:tr w:rsidR="003C61F6" w:rsidTr="00EA7973">
        <w:trPr>
          <w:trHeight w:val="634"/>
        </w:trPr>
        <w:tc>
          <w:tcPr>
            <w:tcW w:w="959"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lastRenderedPageBreak/>
              <w:t>4</w:t>
            </w:r>
          </w:p>
        </w:tc>
        <w:tc>
          <w:tcPr>
            <w:tcW w:w="5245"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利息</w:t>
            </w:r>
          </w:p>
        </w:tc>
        <w:tc>
          <w:tcPr>
            <w:tcW w:w="2268" w:type="dxa"/>
          </w:tcPr>
          <w:p w:rsidR="003C61F6" w:rsidRDefault="000C41D1">
            <w:pPr>
              <w:spacing w:line="460" w:lineRule="exact"/>
              <w:rPr>
                <w:rFonts w:asciiTheme="minorEastAsia" w:hAnsiTheme="minorEastAsia" w:cs="Times New Roman"/>
                <w:kern w:val="0"/>
                <w:sz w:val="24"/>
                <w:szCs w:val="24"/>
              </w:rPr>
            </w:pPr>
            <w:r>
              <w:rPr>
                <w:rFonts w:asciiTheme="minorEastAsia" w:hAnsiTheme="minorEastAsia" w:cs="Times New Roman" w:hint="eastAsia"/>
                <w:kern w:val="0"/>
                <w:sz w:val="24"/>
                <w:szCs w:val="24"/>
              </w:rPr>
              <w:t>35.08</w:t>
            </w:r>
          </w:p>
        </w:tc>
      </w:tr>
      <w:tr w:rsidR="003C61F6" w:rsidTr="00EA7973">
        <w:trPr>
          <w:trHeight w:val="634"/>
        </w:trPr>
        <w:tc>
          <w:tcPr>
            <w:tcW w:w="959" w:type="dxa"/>
          </w:tcPr>
          <w:p w:rsidR="003C61F6" w:rsidRDefault="003C61F6">
            <w:pPr>
              <w:spacing w:line="460" w:lineRule="exact"/>
              <w:rPr>
                <w:rFonts w:asciiTheme="minorEastAsia" w:hAnsiTheme="minorEastAsia"/>
                <w:kern w:val="0"/>
                <w:sz w:val="24"/>
                <w:szCs w:val="24"/>
              </w:rPr>
            </w:pPr>
          </w:p>
        </w:tc>
        <w:tc>
          <w:tcPr>
            <w:tcW w:w="5245"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合计</w:t>
            </w:r>
          </w:p>
        </w:tc>
        <w:tc>
          <w:tcPr>
            <w:tcW w:w="2268" w:type="dxa"/>
          </w:tcPr>
          <w:p w:rsidR="003C61F6" w:rsidRDefault="000C41D1">
            <w:pPr>
              <w:spacing w:line="460" w:lineRule="exact"/>
              <w:rPr>
                <w:rFonts w:asciiTheme="minorEastAsia" w:hAnsiTheme="minorEastAsia" w:cs="Times New Roman"/>
                <w:kern w:val="0"/>
                <w:sz w:val="24"/>
                <w:szCs w:val="24"/>
              </w:rPr>
            </w:pPr>
            <w:r>
              <w:rPr>
                <w:rFonts w:asciiTheme="minorEastAsia" w:hAnsiTheme="minorEastAsia" w:cs="Times New Roman" w:hint="eastAsia"/>
                <w:kern w:val="0"/>
                <w:sz w:val="24"/>
                <w:szCs w:val="24"/>
              </w:rPr>
              <w:t>210543.73</w:t>
            </w:r>
          </w:p>
        </w:tc>
      </w:tr>
    </w:tbl>
    <w:p w:rsidR="003C61F6" w:rsidRDefault="000C41D1">
      <w:pPr>
        <w:spacing w:line="480" w:lineRule="exact"/>
        <w:ind w:leftChars="-100" w:left="-210" w:rightChars="-150" w:right="-315" w:firstLineChars="200" w:firstLine="482"/>
        <w:rPr>
          <w:rFonts w:asciiTheme="minorEastAsia" w:hAnsiTheme="minorEastAsia"/>
          <w:b/>
          <w:sz w:val="24"/>
          <w:szCs w:val="24"/>
        </w:rPr>
      </w:pPr>
      <w:r>
        <w:rPr>
          <w:rFonts w:asciiTheme="minorEastAsia" w:hAnsiTheme="minorEastAsia" w:hint="eastAsia"/>
          <w:b/>
          <w:sz w:val="24"/>
          <w:szCs w:val="24"/>
        </w:rPr>
        <w:t>四、破产财产分配的顺位、比例和金额</w:t>
      </w:r>
    </w:p>
    <w:p w:rsidR="003C61F6" w:rsidRDefault="000C41D1">
      <w:pPr>
        <w:spacing w:line="480" w:lineRule="exact"/>
        <w:ind w:leftChars="-100" w:left="-210" w:rightChars="-150" w:right="-315" w:firstLineChars="200" w:firstLine="482"/>
        <w:rPr>
          <w:rFonts w:asciiTheme="minorEastAsia" w:hAnsiTheme="minorEastAsia"/>
          <w:b/>
          <w:sz w:val="24"/>
          <w:szCs w:val="24"/>
        </w:rPr>
      </w:pPr>
      <w:r>
        <w:rPr>
          <w:rFonts w:asciiTheme="minorEastAsia" w:hAnsiTheme="minorEastAsia" w:hint="eastAsia"/>
          <w:b/>
          <w:sz w:val="24"/>
          <w:szCs w:val="24"/>
        </w:rPr>
        <w:t>（一）破产费用和共益债务的分配</w:t>
      </w:r>
    </w:p>
    <w:p w:rsidR="003C61F6" w:rsidRDefault="000C41D1">
      <w:pPr>
        <w:spacing w:line="480" w:lineRule="exact"/>
        <w:ind w:leftChars="-100" w:left="-210" w:rightChars="-150" w:right="-315" w:firstLineChars="200" w:firstLine="480"/>
        <w:rPr>
          <w:rFonts w:asciiTheme="minorEastAsia" w:hAnsiTheme="minorEastAsia"/>
          <w:sz w:val="24"/>
          <w:szCs w:val="24"/>
        </w:rPr>
      </w:pPr>
      <w:r>
        <w:rPr>
          <w:rFonts w:asciiTheme="minorEastAsia" w:hAnsiTheme="minorEastAsia" w:hint="eastAsia"/>
          <w:sz w:val="24"/>
          <w:szCs w:val="24"/>
        </w:rPr>
        <w:t>根据《企业破产法》第四十一条规定，本案应优先清偿的破产费用（含预留费用）合计，清偿比例100%。本案无应当优先清偿的公益债务。</w:t>
      </w:r>
    </w:p>
    <w:p w:rsidR="003C61F6" w:rsidRDefault="000C41D1">
      <w:pPr>
        <w:spacing w:line="480" w:lineRule="exact"/>
        <w:ind w:leftChars="-100" w:left="-210" w:rightChars="-150" w:right="-315" w:firstLineChars="200" w:firstLine="480"/>
        <w:rPr>
          <w:rFonts w:asciiTheme="minorEastAsia" w:hAnsiTheme="minorEastAsia"/>
          <w:sz w:val="24"/>
          <w:szCs w:val="24"/>
        </w:rPr>
      </w:pPr>
      <w:r>
        <w:rPr>
          <w:rFonts w:asciiTheme="minorEastAsia" w:hAnsiTheme="minorEastAsia" w:hint="eastAsia"/>
          <w:sz w:val="24"/>
          <w:szCs w:val="24"/>
        </w:rPr>
        <w:t>优先清偿的破产费用明细如下：</w:t>
      </w:r>
    </w:p>
    <w:p w:rsidR="003C61F6" w:rsidRDefault="000C41D1">
      <w:pPr>
        <w:pStyle w:val="a6"/>
        <w:numPr>
          <w:ilvl w:val="0"/>
          <w:numId w:val="2"/>
        </w:numPr>
        <w:spacing w:line="480" w:lineRule="exact"/>
        <w:ind w:rightChars="-150" w:right="-315" w:firstLineChars="0"/>
        <w:rPr>
          <w:rFonts w:asciiTheme="minorEastAsia" w:hAnsiTheme="minorEastAsia"/>
          <w:b/>
          <w:sz w:val="24"/>
          <w:szCs w:val="24"/>
        </w:rPr>
      </w:pPr>
      <w:r>
        <w:rPr>
          <w:rFonts w:asciiTheme="minorEastAsia" w:hAnsiTheme="minorEastAsia" w:hint="eastAsia"/>
          <w:b/>
          <w:sz w:val="24"/>
          <w:szCs w:val="24"/>
        </w:rPr>
        <w:t>破产案件的诉讼费用</w:t>
      </w:r>
    </w:p>
    <w:p w:rsidR="003C61F6" w:rsidRDefault="000C41D1">
      <w:pPr>
        <w:spacing w:line="480" w:lineRule="exact"/>
        <w:ind w:left="270" w:rightChars="-150" w:right="-315"/>
        <w:rPr>
          <w:rFonts w:asciiTheme="minorEastAsia" w:hAnsiTheme="minorEastAsia"/>
          <w:sz w:val="24"/>
          <w:szCs w:val="24"/>
        </w:rPr>
      </w:pPr>
      <w:r>
        <w:rPr>
          <w:rFonts w:asciiTheme="minorEastAsia" w:hAnsiTheme="minorEastAsia" w:hint="eastAsia"/>
          <w:sz w:val="24"/>
          <w:szCs w:val="24"/>
        </w:rPr>
        <w:t>根据《诉讼费用交纳办法》第十四条第六款规定，破产案件诉讼费依据破产财产</w:t>
      </w:r>
    </w:p>
    <w:p w:rsidR="003C61F6" w:rsidRDefault="000C41D1">
      <w:pPr>
        <w:spacing w:line="480" w:lineRule="exact"/>
        <w:ind w:rightChars="-150" w:right="-315"/>
        <w:rPr>
          <w:rFonts w:asciiTheme="minorEastAsia" w:hAnsiTheme="minorEastAsia"/>
          <w:sz w:val="24"/>
          <w:szCs w:val="24"/>
        </w:rPr>
      </w:pPr>
      <w:r>
        <w:rPr>
          <w:rFonts w:asciiTheme="minorEastAsia" w:hAnsiTheme="minorEastAsia" w:hint="eastAsia"/>
          <w:sz w:val="24"/>
          <w:szCs w:val="24"/>
        </w:rPr>
        <w:t>总额计算，按照财产案件受理费标准减半交纳，计算展业汽车公司破产案件诉讼费2229.07元。</w:t>
      </w:r>
    </w:p>
    <w:p w:rsidR="003C61F6" w:rsidRDefault="000C41D1">
      <w:pPr>
        <w:spacing w:line="480" w:lineRule="exact"/>
        <w:ind w:rightChars="-150" w:right="-315" w:firstLineChars="100" w:firstLine="241"/>
        <w:rPr>
          <w:rFonts w:asciiTheme="minorEastAsia" w:hAnsiTheme="minorEastAsia"/>
          <w:b/>
          <w:sz w:val="24"/>
          <w:szCs w:val="24"/>
        </w:rPr>
      </w:pPr>
      <w:r>
        <w:rPr>
          <w:rFonts w:asciiTheme="minorEastAsia" w:hAnsiTheme="minorEastAsia" w:hint="eastAsia"/>
          <w:b/>
          <w:sz w:val="24"/>
          <w:szCs w:val="24"/>
        </w:rPr>
        <w:t>2、管理、催讨和分配展业汽车公司财产及管理人执行职务的费用</w:t>
      </w:r>
    </w:p>
    <w:tbl>
      <w:tblPr>
        <w:tblStyle w:val="a5"/>
        <w:tblpPr w:leftFromText="180" w:rightFromText="180" w:vertAnchor="text" w:tblpY="61"/>
        <w:tblW w:w="8522" w:type="dxa"/>
        <w:tblLayout w:type="fixed"/>
        <w:tblLook w:val="04A0"/>
      </w:tblPr>
      <w:tblGrid>
        <w:gridCol w:w="675"/>
        <w:gridCol w:w="2835"/>
        <w:gridCol w:w="1418"/>
        <w:gridCol w:w="3594"/>
      </w:tblGrid>
      <w:tr w:rsidR="003C61F6" w:rsidTr="006D41F9">
        <w:tc>
          <w:tcPr>
            <w:tcW w:w="675" w:type="dxa"/>
          </w:tcPr>
          <w:p w:rsidR="003C61F6" w:rsidRDefault="000C41D1">
            <w:pPr>
              <w:spacing w:line="460" w:lineRule="exact"/>
              <w:jc w:val="center"/>
              <w:rPr>
                <w:rFonts w:asciiTheme="minorEastAsia" w:hAnsiTheme="minorEastAsia"/>
                <w:spacing w:val="-20"/>
                <w:kern w:val="0"/>
                <w:sz w:val="24"/>
                <w:szCs w:val="24"/>
              </w:rPr>
            </w:pPr>
            <w:r>
              <w:rPr>
                <w:rFonts w:asciiTheme="minorEastAsia" w:hAnsiTheme="minorEastAsia" w:hint="eastAsia"/>
                <w:spacing w:val="-20"/>
                <w:kern w:val="0"/>
                <w:sz w:val="24"/>
                <w:szCs w:val="24"/>
              </w:rPr>
              <w:t>序号</w:t>
            </w:r>
          </w:p>
        </w:tc>
        <w:tc>
          <w:tcPr>
            <w:tcW w:w="2835" w:type="dxa"/>
          </w:tcPr>
          <w:p w:rsidR="003C61F6" w:rsidRDefault="000C41D1">
            <w:pPr>
              <w:spacing w:line="460" w:lineRule="exact"/>
              <w:jc w:val="center"/>
              <w:rPr>
                <w:rFonts w:asciiTheme="minorEastAsia" w:hAnsiTheme="minorEastAsia"/>
                <w:kern w:val="0"/>
                <w:sz w:val="24"/>
                <w:szCs w:val="24"/>
              </w:rPr>
            </w:pPr>
            <w:r>
              <w:rPr>
                <w:rFonts w:asciiTheme="minorEastAsia" w:hAnsiTheme="minorEastAsia" w:hint="eastAsia"/>
                <w:kern w:val="0"/>
                <w:sz w:val="24"/>
                <w:szCs w:val="24"/>
              </w:rPr>
              <w:t>费用项目</w:t>
            </w:r>
          </w:p>
        </w:tc>
        <w:tc>
          <w:tcPr>
            <w:tcW w:w="1418" w:type="dxa"/>
          </w:tcPr>
          <w:p w:rsidR="003C61F6" w:rsidRDefault="000C41D1">
            <w:pPr>
              <w:spacing w:line="460" w:lineRule="exact"/>
              <w:jc w:val="center"/>
              <w:rPr>
                <w:rFonts w:asciiTheme="minorEastAsia" w:hAnsiTheme="minorEastAsia"/>
                <w:kern w:val="0"/>
                <w:sz w:val="24"/>
                <w:szCs w:val="24"/>
              </w:rPr>
            </w:pPr>
            <w:r>
              <w:rPr>
                <w:rFonts w:asciiTheme="minorEastAsia" w:hAnsiTheme="minorEastAsia" w:hint="eastAsia"/>
                <w:kern w:val="0"/>
                <w:sz w:val="24"/>
                <w:szCs w:val="24"/>
              </w:rPr>
              <w:t>金额（元）</w:t>
            </w:r>
          </w:p>
        </w:tc>
        <w:tc>
          <w:tcPr>
            <w:tcW w:w="3594" w:type="dxa"/>
          </w:tcPr>
          <w:p w:rsidR="003C61F6" w:rsidRDefault="000C41D1">
            <w:pPr>
              <w:spacing w:line="460" w:lineRule="exact"/>
              <w:jc w:val="center"/>
              <w:rPr>
                <w:rFonts w:asciiTheme="minorEastAsia" w:hAnsiTheme="minorEastAsia"/>
                <w:kern w:val="0"/>
                <w:sz w:val="24"/>
                <w:szCs w:val="24"/>
              </w:rPr>
            </w:pPr>
            <w:r>
              <w:rPr>
                <w:rFonts w:asciiTheme="minorEastAsia" w:hAnsiTheme="minorEastAsia" w:hint="eastAsia"/>
                <w:kern w:val="0"/>
                <w:sz w:val="24"/>
                <w:szCs w:val="24"/>
              </w:rPr>
              <w:t>备注</w:t>
            </w:r>
          </w:p>
        </w:tc>
      </w:tr>
      <w:tr w:rsidR="003C61F6" w:rsidTr="006D41F9">
        <w:tc>
          <w:tcPr>
            <w:tcW w:w="675"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1</w:t>
            </w:r>
          </w:p>
        </w:tc>
        <w:tc>
          <w:tcPr>
            <w:tcW w:w="2835"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spacing w:val="-20"/>
                <w:kern w:val="0"/>
                <w:sz w:val="24"/>
                <w:szCs w:val="24"/>
              </w:rPr>
              <w:t>管理人办公费</w:t>
            </w:r>
          </w:p>
        </w:tc>
        <w:tc>
          <w:tcPr>
            <w:tcW w:w="1418"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1609.5</w:t>
            </w:r>
          </w:p>
        </w:tc>
        <w:tc>
          <w:tcPr>
            <w:tcW w:w="3594"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spacing w:val="-20"/>
                <w:kern w:val="0"/>
                <w:sz w:val="24"/>
                <w:szCs w:val="24"/>
              </w:rPr>
              <w:t>邮寄费、刻章费、开户费、南京调查交通费等</w:t>
            </w:r>
          </w:p>
        </w:tc>
      </w:tr>
      <w:tr w:rsidR="003C61F6" w:rsidTr="006D41F9">
        <w:trPr>
          <w:trHeight w:val="434"/>
        </w:trPr>
        <w:tc>
          <w:tcPr>
            <w:tcW w:w="675"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2</w:t>
            </w:r>
          </w:p>
        </w:tc>
        <w:tc>
          <w:tcPr>
            <w:tcW w:w="2835"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预留费用</w:t>
            </w:r>
          </w:p>
        </w:tc>
        <w:tc>
          <w:tcPr>
            <w:tcW w:w="1418"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1000</w:t>
            </w:r>
          </w:p>
        </w:tc>
        <w:tc>
          <w:tcPr>
            <w:tcW w:w="3594"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邮寄费、公告费、注销等费用</w:t>
            </w:r>
          </w:p>
        </w:tc>
      </w:tr>
      <w:tr w:rsidR="003C61F6" w:rsidTr="006D41F9">
        <w:trPr>
          <w:trHeight w:val="465"/>
        </w:trPr>
        <w:tc>
          <w:tcPr>
            <w:tcW w:w="675"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3</w:t>
            </w:r>
          </w:p>
        </w:tc>
        <w:tc>
          <w:tcPr>
            <w:tcW w:w="2835"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催收应收款中的案件受理费、公告费、调查费</w:t>
            </w:r>
          </w:p>
        </w:tc>
        <w:tc>
          <w:tcPr>
            <w:tcW w:w="1418"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1509</w:t>
            </w:r>
          </w:p>
        </w:tc>
        <w:tc>
          <w:tcPr>
            <w:tcW w:w="3594" w:type="dxa"/>
          </w:tcPr>
          <w:p w:rsidR="003C61F6" w:rsidRDefault="003C61F6">
            <w:pPr>
              <w:spacing w:line="460" w:lineRule="exact"/>
              <w:rPr>
                <w:rFonts w:asciiTheme="minorEastAsia" w:hAnsiTheme="minorEastAsia"/>
                <w:kern w:val="0"/>
                <w:sz w:val="24"/>
                <w:szCs w:val="24"/>
              </w:rPr>
            </w:pPr>
          </w:p>
        </w:tc>
      </w:tr>
      <w:tr w:rsidR="003C61F6" w:rsidTr="006D41F9">
        <w:trPr>
          <w:trHeight w:val="465"/>
        </w:trPr>
        <w:tc>
          <w:tcPr>
            <w:tcW w:w="675"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4</w:t>
            </w:r>
          </w:p>
        </w:tc>
        <w:tc>
          <w:tcPr>
            <w:tcW w:w="2835"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银行代扣费</w:t>
            </w:r>
          </w:p>
        </w:tc>
        <w:tc>
          <w:tcPr>
            <w:tcW w:w="1418"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17.5</w:t>
            </w:r>
          </w:p>
        </w:tc>
        <w:tc>
          <w:tcPr>
            <w:tcW w:w="3594" w:type="dxa"/>
          </w:tcPr>
          <w:p w:rsidR="003C61F6" w:rsidRDefault="003C61F6">
            <w:pPr>
              <w:spacing w:line="460" w:lineRule="exact"/>
              <w:rPr>
                <w:rFonts w:asciiTheme="minorEastAsia" w:hAnsiTheme="minorEastAsia"/>
                <w:kern w:val="0"/>
                <w:sz w:val="24"/>
                <w:szCs w:val="24"/>
              </w:rPr>
            </w:pPr>
          </w:p>
        </w:tc>
      </w:tr>
      <w:tr w:rsidR="003C61F6" w:rsidTr="006D41F9">
        <w:trPr>
          <w:trHeight w:val="465"/>
        </w:trPr>
        <w:tc>
          <w:tcPr>
            <w:tcW w:w="675" w:type="dxa"/>
          </w:tcPr>
          <w:p w:rsidR="003C61F6" w:rsidRDefault="003C61F6">
            <w:pPr>
              <w:spacing w:line="460" w:lineRule="exact"/>
              <w:rPr>
                <w:rFonts w:asciiTheme="minorEastAsia" w:hAnsiTheme="minorEastAsia"/>
                <w:kern w:val="0"/>
                <w:sz w:val="24"/>
                <w:szCs w:val="24"/>
              </w:rPr>
            </w:pPr>
          </w:p>
        </w:tc>
        <w:tc>
          <w:tcPr>
            <w:tcW w:w="2835"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合计</w:t>
            </w:r>
          </w:p>
        </w:tc>
        <w:tc>
          <w:tcPr>
            <w:tcW w:w="1418" w:type="dxa"/>
          </w:tcPr>
          <w:p w:rsidR="003C61F6" w:rsidRDefault="000C41D1">
            <w:pPr>
              <w:spacing w:line="460" w:lineRule="exact"/>
              <w:rPr>
                <w:rFonts w:asciiTheme="minorEastAsia" w:hAnsiTheme="minorEastAsia"/>
                <w:kern w:val="0"/>
                <w:sz w:val="24"/>
                <w:szCs w:val="24"/>
              </w:rPr>
            </w:pPr>
            <w:r>
              <w:rPr>
                <w:rFonts w:asciiTheme="minorEastAsia" w:hAnsiTheme="minorEastAsia" w:hint="eastAsia"/>
                <w:kern w:val="0"/>
                <w:sz w:val="24"/>
                <w:szCs w:val="24"/>
              </w:rPr>
              <w:t>4136</w:t>
            </w:r>
          </w:p>
        </w:tc>
        <w:tc>
          <w:tcPr>
            <w:tcW w:w="3594" w:type="dxa"/>
          </w:tcPr>
          <w:p w:rsidR="003C61F6" w:rsidRDefault="003C61F6">
            <w:pPr>
              <w:spacing w:line="460" w:lineRule="exact"/>
              <w:rPr>
                <w:rFonts w:asciiTheme="minorEastAsia" w:hAnsiTheme="minorEastAsia"/>
                <w:kern w:val="0"/>
                <w:sz w:val="24"/>
                <w:szCs w:val="24"/>
              </w:rPr>
            </w:pPr>
          </w:p>
        </w:tc>
      </w:tr>
    </w:tbl>
    <w:p w:rsidR="003C61F6" w:rsidRDefault="000C41D1">
      <w:pPr>
        <w:spacing w:line="480" w:lineRule="exact"/>
        <w:ind w:rightChars="-150" w:right="-315" w:firstLineChars="100" w:firstLine="241"/>
        <w:rPr>
          <w:rFonts w:asciiTheme="minorEastAsia" w:hAnsiTheme="minorEastAsia"/>
          <w:b/>
          <w:sz w:val="24"/>
          <w:szCs w:val="24"/>
        </w:rPr>
      </w:pPr>
      <w:r>
        <w:rPr>
          <w:rFonts w:asciiTheme="minorEastAsia" w:hAnsiTheme="minorEastAsia" w:hint="eastAsia"/>
          <w:b/>
          <w:sz w:val="24"/>
          <w:szCs w:val="24"/>
        </w:rPr>
        <w:t>3、管理人报酬</w:t>
      </w:r>
    </w:p>
    <w:p w:rsidR="002F089F" w:rsidRPr="005359B3" w:rsidRDefault="002F089F" w:rsidP="002F089F">
      <w:pPr>
        <w:spacing w:line="480" w:lineRule="exact"/>
        <w:ind w:rightChars="-150" w:right="-315" w:firstLineChars="100" w:firstLine="240"/>
        <w:rPr>
          <w:rFonts w:asciiTheme="minorEastAsia" w:hAnsiTheme="minorEastAsia"/>
          <w:sz w:val="24"/>
          <w:szCs w:val="24"/>
        </w:rPr>
      </w:pPr>
      <w:r w:rsidRPr="005359B3">
        <w:rPr>
          <w:rFonts w:asciiTheme="minorEastAsia" w:hAnsiTheme="minorEastAsia" w:hint="eastAsia"/>
          <w:sz w:val="24"/>
          <w:szCs w:val="24"/>
        </w:rPr>
        <w:t>根据《最高人民法院关于审理企业破产案件确定管理人报酬的规定》第二条</w:t>
      </w:r>
    </w:p>
    <w:p w:rsidR="002F089F" w:rsidRPr="000C2682" w:rsidRDefault="002F089F" w:rsidP="002F089F">
      <w:pPr>
        <w:spacing w:line="480" w:lineRule="exact"/>
        <w:ind w:rightChars="-150" w:right="-315"/>
        <w:rPr>
          <w:rFonts w:asciiTheme="minorEastAsia" w:hAnsiTheme="minorEastAsia"/>
          <w:sz w:val="24"/>
          <w:szCs w:val="24"/>
        </w:rPr>
      </w:pPr>
      <w:r w:rsidRPr="000C2682">
        <w:rPr>
          <w:rFonts w:asciiTheme="minorEastAsia" w:hAnsiTheme="minorEastAsia" w:hint="eastAsia"/>
          <w:sz w:val="24"/>
          <w:szCs w:val="24"/>
        </w:rPr>
        <w:t>规定，管理人报酬根据债务人最终清偿的财产价值总额，在以下比例限制范围内分段确定：（1）不超过一百万元（含本数，下同）的，按12%确定；（2）超过一百万元至五百万元的部分，按10%确定；（3）超过五百万元至一千万元的部分，按8%确定；（4）超过一千万元至五千万元的部分，按6%确定；（5）超过五千万元至一亿元的部分，按3%确定；（6）超过一亿元至五亿元的部分，按1%确定；（7）超过五亿元的部分，按0.5%确定。担保权人优先受偿的担保物价值，不计入最终清偿的财产价值总额。</w:t>
      </w:r>
    </w:p>
    <w:p w:rsidR="003C61F6" w:rsidRDefault="002F089F" w:rsidP="002F089F">
      <w:pPr>
        <w:spacing w:line="480" w:lineRule="exact"/>
        <w:ind w:rightChars="-150" w:right="-315" w:firstLineChars="200" w:firstLine="480"/>
        <w:rPr>
          <w:rFonts w:asciiTheme="minorEastAsia" w:hAnsiTheme="minorEastAsia"/>
          <w:sz w:val="24"/>
          <w:szCs w:val="24"/>
        </w:rPr>
      </w:pPr>
      <w:r>
        <w:rPr>
          <w:rFonts w:asciiTheme="minorEastAsia" w:hAnsiTheme="minorEastAsia" w:hint="eastAsia"/>
          <w:sz w:val="24"/>
          <w:szCs w:val="24"/>
        </w:rPr>
        <w:t>展业汽车公司的破产财产总额为210543.73元</w:t>
      </w:r>
      <w:r w:rsidRPr="00811471">
        <w:rPr>
          <w:rFonts w:asciiTheme="minorEastAsia" w:hAnsiTheme="minorEastAsia"/>
          <w:sz w:val="24"/>
          <w:szCs w:val="24"/>
        </w:rPr>
        <w:t>,</w:t>
      </w:r>
      <w:r>
        <w:rPr>
          <w:rFonts w:asciiTheme="minorEastAsia" w:hAnsiTheme="minorEastAsia" w:hint="eastAsia"/>
          <w:sz w:val="24"/>
          <w:szCs w:val="24"/>
        </w:rPr>
        <w:t>扣除</w:t>
      </w:r>
      <w:r w:rsidRPr="00811471">
        <w:rPr>
          <w:rFonts w:asciiTheme="minorEastAsia" w:hAnsiTheme="minorEastAsia" w:hint="eastAsia"/>
          <w:sz w:val="24"/>
          <w:szCs w:val="24"/>
        </w:rPr>
        <w:t>破</w:t>
      </w:r>
      <w:r w:rsidRPr="00E248AA">
        <w:rPr>
          <w:rFonts w:asciiTheme="minorEastAsia" w:hAnsiTheme="minorEastAsia" w:hint="eastAsia"/>
          <w:sz w:val="24"/>
          <w:szCs w:val="24"/>
        </w:rPr>
        <w:t>产案件的诉讼费用2229.07元</w:t>
      </w:r>
      <w:r w:rsidRPr="00811471">
        <w:rPr>
          <w:rFonts w:asciiTheme="minorEastAsia" w:hAnsiTheme="minorEastAsia" w:hint="eastAsia"/>
          <w:sz w:val="24"/>
          <w:szCs w:val="24"/>
        </w:rPr>
        <w:t>和管</w:t>
      </w:r>
      <w:r w:rsidRPr="00E248AA">
        <w:rPr>
          <w:rFonts w:asciiTheme="minorEastAsia" w:hAnsiTheme="minorEastAsia" w:hint="eastAsia"/>
          <w:sz w:val="24"/>
          <w:szCs w:val="24"/>
        </w:rPr>
        <w:t>理、催讨和分配展业汽车公司财产及管理人执行职务的费用4136元</w:t>
      </w:r>
      <w:r w:rsidRPr="00E248AA">
        <w:rPr>
          <w:rFonts w:asciiTheme="minorEastAsia" w:hAnsiTheme="minorEastAsia" w:hint="eastAsia"/>
          <w:sz w:val="24"/>
          <w:szCs w:val="24"/>
        </w:rPr>
        <w:lastRenderedPageBreak/>
        <w:t>（含预留的1000元）</w:t>
      </w:r>
      <w:r>
        <w:rPr>
          <w:rFonts w:asciiTheme="minorEastAsia" w:hAnsiTheme="minorEastAsia" w:hint="eastAsia"/>
          <w:sz w:val="24"/>
          <w:szCs w:val="24"/>
        </w:rPr>
        <w:t>，最终可供清偿财产总额为</w:t>
      </w:r>
      <w:r w:rsidRPr="0080155F">
        <w:rPr>
          <w:rFonts w:asciiTheme="minorEastAsia" w:hAnsiTheme="minorEastAsia" w:hint="eastAsia"/>
          <w:sz w:val="24"/>
          <w:szCs w:val="24"/>
        </w:rPr>
        <w:t>204178.66元</w:t>
      </w:r>
      <w:r>
        <w:rPr>
          <w:rFonts w:asciiTheme="minorEastAsia" w:hAnsiTheme="minorEastAsia" w:hint="eastAsia"/>
          <w:sz w:val="24"/>
          <w:szCs w:val="24"/>
        </w:rPr>
        <w:t>。</w:t>
      </w:r>
      <w:r w:rsidRPr="0080155F">
        <w:rPr>
          <w:rFonts w:asciiTheme="minorEastAsia" w:hAnsiTheme="minorEastAsia" w:hint="eastAsia"/>
          <w:sz w:val="24"/>
          <w:szCs w:val="24"/>
        </w:rPr>
        <w:t>管理人按</w:t>
      </w:r>
      <w:r>
        <w:rPr>
          <w:rFonts w:asciiTheme="minorEastAsia" w:hAnsiTheme="minorEastAsia" w:hint="eastAsia"/>
          <w:sz w:val="24"/>
          <w:szCs w:val="24"/>
        </w:rPr>
        <w:t>最终可供清偿</w:t>
      </w:r>
      <w:r w:rsidRPr="0080155F">
        <w:rPr>
          <w:rFonts w:asciiTheme="minorEastAsia" w:hAnsiTheme="minorEastAsia" w:hint="eastAsia"/>
          <w:sz w:val="24"/>
          <w:szCs w:val="24"/>
        </w:rPr>
        <w:t>财产总额204178.66元</w:t>
      </w:r>
      <w:r w:rsidRPr="002051D8">
        <w:rPr>
          <w:rFonts w:asciiTheme="minorEastAsia" w:hAnsiTheme="minorEastAsia" w:hint="eastAsia"/>
          <w:sz w:val="24"/>
          <w:szCs w:val="24"/>
        </w:rPr>
        <w:t>的12%收取管理人报酬金额为</w:t>
      </w:r>
      <w:r>
        <w:rPr>
          <w:rFonts w:asciiTheme="minorEastAsia" w:hAnsiTheme="minorEastAsia" w:hint="eastAsia"/>
          <w:sz w:val="24"/>
          <w:szCs w:val="24"/>
        </w:rPr>
        <w:t>24501.43</w:t>
      </w:r>
      <w:r w:rsidRPr="002051D8">
        <w:rPr>
          <w:rFonts w:asciiTheme="minorEastAsia" w:hAnsiTheme="minorEastAsia" w:hint="eastAsia"/>
          <w:sz w:val="24"/>
          <w:szCs w:val="24"/>
        </w:rPr>
        <w:t>元。</w:t>
      </w:r>
      <w:r w:rsidR="006D723C">
        <w:rPr>
          <w:rFonts w:asciiTheme="minorEastAsia" w:hAnsiTheme="minorEastAsia" w:hint="eastAsia"/>
          <w:sz w:val="24"/>
          <w:szCs w:val="24"/>
        </w:rPr>
        <w:t>管理人报酬最终由</w:t>
      </w:r>
      <w:r>
        <w:rPr>
          <w:rFonts w:asciiTheme="minorEastAsia" w:hAnsiTheme="minorEastAsia" w:hint="eastAsia"/>
          <w:sz w:val="24"/>
          <w:szCs w:val="24"/>
        </w:rPr>
        <w:t>常熟市人民法院</w:t>
      </w:r>
      <w:r w:rsidR="006D723C">
        <w:rPr>
          <w:rFonts w:asciiTheme="minorEastAsia" w:hAnsiTheme="minorEastAsia" w:hint="eastAsia"/>
          <w:sz w:val="24"/>
          <w:szCs w:val="24"/>
        </w:rPr>
        <w:t>确定。</w:t>
      </w:r>
      <w:r w:rsidR="000C41D1">
        <w:rPr>
          <w:rFonts w:asciiTheme="minorEastAsia" w:hAnsiTheme="minorEastAsia" w:hint="eastAsia"/>
          <w:sz w:val="24"/>
          <w:szCs w:val="24"/>
        </w:rPr>
        <w:t xml:space="preserve">         </w:t>
      </w:r>
    </w:p>
    <w:p w:rsidR="003C61F6" w:rsidRDefault="000C41D1">
      <w:pPr>
        <w:spacing w:line="480" w:lineRule="exact"/>
        <w:ind w:rightChars="-150" w:right="-315" w:firstLineChars="100" w:firstLine="241"/>
        <w:rPr>
          <w:rFonts w:asciiTheme="minorEastAsia" w:hAnsiTheme="minorEastAsia"/>
          <w:b/>
          <w:sz w:val="24"/>
          <w:szCs w:val="24"/>
        </w:rPr>
      </w:pPr>
      <w:r>
        <w:rPr>
          <w:rFonts w:asciiTheme="minorEastAsia" w:hAnsiTheme="minorEastAsia" w:hint="eastAsia"/>
          <w:b/>
          <w:sz w:val="24"/>
          <w:szCs w:val="24"/>
        </w:rPr>
        <w:t>（二）其它债权的分配</w:t>
      </w:r>
    </w:p>
    <w:p w:rsidR="003C61F6" w:rsidRDefault="000C41D1">
      <w:pPr>
        <w:spacing w:line="480" w:lineRule="exact"/>
        <w:ind w:leftChars="-100" w:left="-210" w:rightChars="-150" w:right="-315" w:firstLine="465"/>
        <w:rPr>
          <w:rFonts w:asciiTheme="minorEastAsia" w:hAnsiTheme="minorEastAsia"/>
          <w:sz w:val="24"/>
          <w:szCs w:val="24"/>
        </w:rPr>
      </w:pPr>
      <w:r>
        <w:rPr>
          <w:rFonts w:asciiTheme="minorEastAsia" w:hAnsiTheme="minorEastAsia" w:hint="eastAsia"/>
          <w:sz w:val="24"/>
          <w:szCs w:val="24"/>
        </w:rPr>
        <w:t>展业汽车公司目前可供清偿的破产财产总额为210543.73元，优先清偿破产费用30866.5元后，可供分配其它债务的破产财产金额为179677.23元，根据《企业破产法》第一百一十三条规定的顺序清偿，因第一顺序</w:t>
      </w:r>
      <w:r>
        <w:rPr>
          <w:rFonts w:asciiTheme="minorEastAsia" w:hAnsiTheme="minorEastAsia" w:cs="楷体" w:hint="eastAsia"/>
          <w:sz w:val="24"/>
          <w:szCs w:val="24"/>
        </w:rPr>
        <w:t>职工债权金额为275397元，因此</w:t>
      </w:r>
    </w:p>
    <w:p w:rsidR="003C61F6" w:rsidRDefault="000C41D1">
      <w:pPr>
        <w:spacing w:line="480" w:lineRule="exact"/>
        <w:ind w:leftChars="-100" w:left="-210" w:rightChars="-150" w:right="-315"/>
        <w:rPr>
          <w:rFonts w:asciiTheme="minorEastAsia" w:hAnsiTheme="minorEastAsia" w:cs="楷体"/>
          <w:sz w:val="24"/>
          <w:szCs w:val="24"/>
        </w:rPr>
      </w:pPr>
      <w:r>
        <w:rPr>
          <w:rFonts w:asciiTheme="minorEastAsia" w:hAnsiTheme="minorEastAsia" w:cs="楷体"/>
          <w:sz w:val="24"/>
          <w:szCs w:val="24"/>
        </w:rPr>
        <w:t>破产财产不足以清偿</w:t>
      </w:r>
      <w:r>
        <w:rPr>
          <w:rFonts w:asciiTheme="minorEastAsia" w:hAnsiTheme="minorEastAsia" w:cs="楷体" w:hint="eastAsia"/>
          <w:sz w:val="24"/>
          <w:szCs w:val="24"/>
        </w:rPr>
        <w:t>这</w:t>
      </w:r>
      <w:r>
        <w:rPr>
          <w:rFonts w:asciiTheme="minorEastAsia" w:hAnsiTheme="minorEastAsia" w:cs="楷体"/>
          <w:sz w:val="24"/>
          <w:szCs w:val="24"/>
        </w:rPr>
        <w:t>一顺序</w:t>
      </w:r>
      <w:r>
        <w:rPr>
          <w:rFonts w:asciiTheme="minorEastAsia" w:hAnsiTheme="minorEastAsia" w:cs="楷体" w:hint="eastAsia"/>
          <w:sz w:val="24"/>
          <w:szCs w:val="24"/>
        </w:rPr>
        <w:t>债权</w:t>
      </w:r>
      <w:r>
        <w:rPr>
          <w:rFonts w:asciiTheme="minorEastAsia" w:hAnsiTheme="minorEastAsia" w:cs="楷体"/>
          <w:sz w:val="24"/>
          <w:szCs w:val="24"/>
        </w:rPr>
        <w:t>，按照比例分配</w:t>
      </w:r>
      <w:r>
        <w:rPr>
          <w:rFonts w:asciiTheme="minorEastAsia" w:hAnsiTheme="minorEastAsia" w:cs="楷体" w:hint="eastAsia"/>
          <w:sz w:val="24"/>
          <w:szCs w:val="24"/>
        </w:rPr>
        <w:t>，分配比例为65.24%</w:t>
      </w:r>
      <w:r>
        <w:rPr>
          <w:rFonts w:asciiTheme="minorEastAsia" w:hAnsiTheme="minorEastAsia" w:cs="楷体"/>
          <w:sz w:val="24"/>
          <w:szCs w:val="24"/>
        </w:rPr>
        <w:t>(</w:t>
      </w:r>
      <w:r>
        <w:rPr>
          <w:rFonts w:asciiTheme="minorEastAsia" w:hAnsiTheme="minorEastAsia" w:cs="楷体" w:hint="eastAsia"/>
          <w:sz w:val="24"/>
          <w:szCs w:val="24"/>
        </w:rPr>
        <w:t>详见《常熟展业汽车零部件科技有限公司职工债权分配明细表》)。</w:t>
      </w:r>
    </w:p>
    <w:p w:rsidR="004D1632" w:rsidRDefault="004D1632" w:rsidP="004D1632">
      <w:pPr>
        <w:spacing w:line="480" w:lineRule="exact"/>
        <w:ind w:leftChars="-100" w:left="-210" w:rightChars="-150" w:right="-315" w:firstLineChars="200" w:firstLine="480"/>
        <w:rPr>
          <w:rFonts w:asciiTheme="minorEastAsia" w:hAnsiTheme="minorEastAsia" w:cs="楷体"/>
          <w:sz w:val="24"/>
          <w:szCs w:val="24"/>
        </w:rPr>
      </w:pPr>
      <w:r>
        <w:rPr>
          <w:rFonts w:asciiTheme="minorEastAsia" w:hAnsiTheme="minorEastAsia" w:cs="楷体" w:hint="eastAsia"/>
          <w:sz w:val="24"/>
          <w:szCs w:val="24"/>
        </w:rPr>
        <w:t>各债权人如有异议，可以收到该分配细则及分配明细表后三日内向管理人或法院提出，并说明理由。</w:t>
      </w:r>
    </w:p>
    <w:p w:rsidR="003C61F6" w:rsidRDefault="000C41D1">
      <w:pPr>
        <w:spacing w:line="480" w:lineRule="exact"/>
        <w:ind w:leftChars="-100" w:left="-210" w:rightChars="-150" w:right="-315" w:firstLine="465"/>
        <w:rPr>
          <w:rFonts w:asciiTheme="minorEastAsia" w:hAnsiTheme="minorEastAsia"/>
          <w:b/>
          <w:sz w:val="24"/>
          <w:szCs w:val="24"/>
        </w:rPr>
      </w:pPr>
      <w:r>
        <w:rPr>
          <w:rFonts w:asciiTheme="minorEastAsia" w:hAnsiTheme="minorEastAsia" w:hint="eastAsia"/>
          <w:b/>
          <w:sz w:val="24"/>
          <w:szCs w:val="24"/>
        </w:rPr>
        <w:t>五、破产财产分配实施办法</w:t>
      </w:r>
    </w:p>
    <w:p w:rsidR="003C61F6" w:rsidRDefault="000C41D1">
      <w:pPr>
        <w:spacing w:line="480" w:lineRule="exact"/>
        <w:ind w:leftChars="-100" w:left="-210" w:rightChars="-150" w:right="-315" w:firstLine="465"/>
        <w:rPr>
          <w:rFonts w:asciiTheme="minorEastAsia" w:hAnsiTheme="minorEastAsia"/>
          <w:b/>
          <w:sz w:val="24"/>
          <w:szCs w:val="24"/>
        </w:rPr>
      </w:pPr>
      <w:r>
        <w:rPr>
          <w:rFonts w:asciiTheme="minorEastAsia" w:hAnsiTheme="minorEastAsia" w:hint="eastAsia"/>
          <w:b/>
          <w:sz w:val="24"/>
          <w:szCs w:val="24"/>
        </w:rPr>
        <w:t>（一）分配方式</w:t>
      </w:r>
    </w:p>
    <w:p w:rsidR="003C61F6" w:rsidRDefault="000C41D1">
      <w:pPr>
        <w:spacing w:line="480" w:lineRule="exact"/>
        <w:ind w:leftChars="-100" w:left="-210" w:rightChars="-150" w:right="-315" w:firstLine="465"/>
        <w:rPr>
          <w:rFonts w:asciiTheme="minorEastAsia" w:hAnsiTheme="minorEastAsia"/>
          <w:sz w:val="24"/>
          <w:szCs w:val="24"/>
        </w:rPr>
      </w:pPr>
      <w:r>
        <w:rPr>
          <w:rFonts w:asciiTheme="minorEastAsia" w:hAnsiTheme="minorEastAsia" w:hint="eastAsia"/>
          <w:sz w:val="24"/>
          <w:szCs w:val="24"/>
        </w:rPr>
        <w:t>以货币形式进行分配，由管理人根据各债权人提供的银行帐号（提供的银行帐号必须是债权人名下自有帐号），实施转账支付。</w:t>
      </w:r>
    </w:p>
    <w:p w:rsidR="003C61F6" w:rsidRDefault="000C41D1">
      <w:pPr>
        <w:spacing w:line="480" w:lineRule="exact"/>
        <w:ind w:leftChars="-100" w:left="-210" w:rightChars="-150" w:right="-315" w:firstLine="465"/>
        <w:rPr>
          <w:rFonts w:asciiTheme="minorEastAsia" w:hAnsiTheme="minorEastAsia"/>
          <w:b/>
          <w:sz w:val="24"/>
          <w:szCs w:val="24"/>
        </w:rPr>
      </w:pPr>
      <w:r>
        <w:rPr>
          <w:rFonts w:asciiTheme="minorEastAsia" w:hAnsiTheme="minorEastAsia" w:hint="eastAsia"/>
          <w:b/>
          <w:sz w:val="24"/>
          <w:szCs w:val="24"/>
        </w:rPr>
        <w:t>（二）分配提存处置</w:t>
      </w:r>
    </w:p>
    <w:p w:rsidR="003C61F6" w:rsidRDefault="000C41D1">
      <w:pPr>
        <w:spacing w:line="480" w:lineRule="exact"/>
        <w:ind w:leftChars="-100" w:left="-210" w:rightChars="-150" w:right="-315" w:firstLine="465"/>
        <w:rPr>
          <w:rFonts w:asciiTheme="minorEastAsia" w:hAnsiTheme="minorEastAsia"/>
          <w:sz w:val="24"/>
          <w:szCs w:val="24"/>
        </w:rPr>
      </w:pPr>
      <w:r>
        <w:rPr>
          <w:rFonts w:asciiTheme="minorEastAsia" w:hAnsiTheme="minorEastAsia" w:hint="eastAsia"/>
          <w:sz w:val="24"/>
          <w:szCs w:val="24"/>
        </w:rPr>
        <w:t>根据《企业破产法》第一百一十八条规定：</w:t>
      </w:r>
      <w:r>
        <w:rPr>
          <w:rFonts w:asciiTheme="minorEastAsia" w:hAnsiTheme="minorEastAsia"/>
          <w:sz w:val="24"/>
          <w:szCs w:val="24"/>
        </w:rPr>
        <w:t>债权人未受领的破产财产分配额，管理人应当提存。债权人自最后分配公告之日起满二个月仍不领取的，视为放弃受领分配的权利，管理人或者人民法院应当将提存的分配额分配给其他债权人。</w:t>
      </w:r>
    </w:p>
    <w:p w:rsidR="003C61F6" w:rsidRDefault="000C41D1">
      <w:pPr>
        <w:spacing w:line="480" w:lineRule="exact"/>
        <w:ind w:leftChars="-100" w:left="-210" w:rightChars="-150" w:right="-315" w:firstLine="465"/>
        <w:rPr>
          <w:rFonts w:asciiTheme="minorEastAsia" w:hAnsiTheme="minorEastAsia"/>
          <w:b/>
          <w:sz w:val="24"/>
          <w:szCs w:val="24"/>
        </w:rPr>
      </w:pPr>
      <w:r>
        <w:rPr>
          <w:rFonts w:asciiTheme="minorEastAsia" w:hAnsiTheme="minorEastAsia" w:hint="eastAsia"/>
          <w:b/>
          <w:sz w:val="24"/>
          <w:szCs w:val="24"/>
        </w:rPr>
        <w:t>（三）后续收回财产的分配问题</w:t>
      </w:r>
    </w:p>
    <w:p w:rsidR="003C61F6" w:rsidRDefault="000C41D1">
      <w:pPr>
        <w:spacing w:line="480" w:lineRule="exact"/>
        <w:ind w:leftChars="-100" w:left="-210" w:rightChars="-150" w:right="-315" w:firstLine="465"/>
        <w:rPr>
          <w:rFonts w:ascii="Verdana" w:hAnsi="Verdana"/>
          <w:sz w:val="24"/>
          <w:szCs w:val="24"/>
        </w:rPr>
      </w:pPr>
      <w:r>
        <w:rPr>
          <w:rFonts w:asciiTheme="minorEastAsia" w:hAnsiTheme="minorEastAsia" w:hint="eastAsia"/>
          <w:sz w:val="24"/>
          <w:szCs w:val="24"/>
        </w:rPr>
        <w:t>向</w:t>
      </w:r>
      <w:r>
        <w:rPr>
          <w:rFonts w:asciiTheme="majorEastAsia" w:eastAsiaTheme="majorEastAsia" w:hAnsiTheme="majorEastAsia" w:hint="eastAsia"/>
          <w:sz w:val="24"/>
          <w:szCs w:val="24"/>
        </w:rPr>
        <w:t>董济雄、刘士广、尹承涛3名股东追收未缴出资180万元</w:t>
      </w:r>
      <w:r>
        <w:rPr>
          <w:rFonts w:asciiTheme="majorEastAsia" w:eastAsiaTheme="majorEastAsia" w:hAnsiTheme="majorEastAsia"/>
          <w:sz w:val="24"/>
          <w:szCs w:val="24"/>
        </w:rPr>
        <w:t>(</w:t>
      </w:r>
      <w:r>
        <w:rPr>
          <w:rFonts w:asciiTheme="majorEastAsia" w:eastAsiaTheme="majorEastAsia" w:hAnsiTheme="majorEastAsia" w:hint="eastAsia"/>
          <w:sz w:val="24"/>
          <w:szCs w:val="24"/>
        </w:rPr>
        <w:t>已经扣除股东周冬履行的20万)一案，如有执行到的财产，</w:t>
      </w:r>
      <w:r>
        <w:rPr>
          <w:rFonts w:asciiTheme="minorEastAsia" w:hAnsiTheme="minorEastAsia" w:hint="eastAsia"/>
          <w:sz w:val="24"/>
          <w:szCs w:val="24"/>
        </w:rPr>
        <w:t>对未受偿的债权按本方案确定的原则、顺序进行分配。</w:t>
      </w:r>
    </w:p>
    <w:p w:rsidR="003C61F6" w:rsidRDefault="000C41D1">
      <w:pPr>
        <w:spacing w:line="480" w:lineRule="exact"/>
        <w:ind w:leftChars="-100" w:left="-210" w:rightChars="-150" w:right="-315" w:firstLine="465"/>
        <w:rPr>
          <w:rFonts w:asciiTheme="minorEastAsia" w:hAnsiTheme="minorEastAsia"/>
          <w:sz w:val="24"/>
          <w:szCs w:val="24"/>
        </w:rPr>
      </w:pPr>
      <w:r>
        <w:rPr>
          <w:rFonts w:asciiTheme="minorEastAsia" w:hAnsiTheme="minorEastAsia" w:hint="eastAsia"/>
          <w:sz w:val="24"/>
          <w:szCs w:val="24"/>
        </w:rPr>
        <w:t>自破产程序终结之日起2年内如发现有可供分配的财产的，对未受偿的债权按本方案确定的原则、顺序进行分配。</w:t>
      </w:r>
    </w:p>
    <w:p w:rsidR="003C61F6" w:rsidRDefault="000C41D1">
      <w:pPr>
        <w:spacing w:line="480" w:lineRule="exact"/>
        <w:ind w:leftChars="-100" w:left="-210" w:rightChars="-150" w:right="-315" w:firstLineChars="1850" w:firstLine="4440"/>
        <w:rPr>
          <w:rFonts w:asciiTheme="minorEastAsia" w:hAnsiTheme="minorEastAsia" w:cs="楷体"/>
          <w:sz w:val="24"/>
          <w:szCs w:val="24"/>
        </w:rPr>
      </w:pPr>
      <w:r>
        <w:rPr>
          <w:rFonts w:asciiTheme="minorEastAsia" w:hAnsiTheme="minorEastAsia" w:cs="楷体" w:hint="eastAsia"/>
          <w:sz w:val="24"/>
          <w:szCs w:val="24"/>
        </w:rPr>
        <w:t>常熟展业汽车零部件科技有限公司管理人</w:t>
      </w:r>
    </w:p>
    <w:p w:rsidR="003C61F6" w:rsidRDefault="000C41D1">
      <w:pPr>
        <w:spacing w:line="480" w:lineRule="exact"/>
        <w:ind w:leftChars="-100" w:left="-210" w:rightChars="-150" w:right="-315" w:firstLine="560"/>
        <w:rPr>
          <w:sz w:val="24"/>
          <w:szCs w:val="24"/>
        </w:rPr>
      </w:pPr>
      <w:r>
        <w:rPr>
          <w:rFonts w:asciiTheme="minorEastAsia" w:hAnsiTheme="minorEastAsia" w:cs="楷体" w:hint="eastAsia"/>
          <w:sz w:val="24"/>
          <w:szCs w:val="24"/>
        </w:rPr>
        <w:t xml:space="preserve">                                       </w:t>
      </w:r>
      <w:r w:rsidR="00477C0E">
        <w:rPr>
          <w:rFonts w:asciiTheme="minorEastAsia" w:hAnsiTheme="minorEastAsia" w:cs="楷体" w:hint="eastAsia"/>
          <w:sz w:val="24"/>
          <w:szCs w:val="24"/>
        </w:rPr>
        <w:t>二〇二二年六月二十三</w:t>
      </w:r>
      <w:r>
        <w:rPr>
          <w:rFonts w:asciiTheme="minorEastAsia" w:hAnsiTheme="minorEastAsia" w:cs="楷体" w:hint="eastAsia"/>
          <w:sz w:val="24"/>
          <w:szCs w:val="24"/>
        </w:rPr>
        <w:t>日</w:t>
      </w:r>
    </w:p>
    <w:sectPr w:rsidR="003C61F6" w:rsidSect="00EA7973">
      <w:pgSz w:w="11906" w:h="16838"/>
      <w:pgMar w:top="1021" w:right="1701" w:bottom="102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89F" w:rsidRDefault="002F089F" w:rsidP="002F089F">
      <w:r>
        <w:separator/>
      </w:r>
    </w:p>
  </w:endnote>
  <w:endnote w:type="continuationSeparator" w:id="0">
    <w:p w:rsidR="002F089F" w:rsidRDefault="002F089F" w:rsidP="002F089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89F" w:rsidRDefault="002F089F" w:rsidP="002F089F">
      <w:r>
        <w:separator/>
      </w:r>
    </w:p>
  </w:footnote>
  <w:footnote w:type="continuationSeparator" w:id="0">
    <w:p w:rsidR="002F089F" w:rsidRDefault="002F089F" w:rsidP="002F08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24ED5"/>
    <w:multiLevelType w:val="multilevel"/>
    <w:tmpl w:val="1E124ED5"/>
    <w:lvl w:ilvl="0">
      <w:start w:val="1"/>
      <w:numFmt w:val="japaneseCounting"/>
      <w:lvlText w:val="%1、"/>
      <w:lvlJc w:val="left"/>
      <w:pPr>
        <w:ind w:left="751" w:hanging="510"/>
      </w:pPr>
      <w:rPr>
        <w:rFonts w:ascii="宋体" w:hAnsi="宋体" w:hint="default"/>
        <w:b/>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1">
    <w:nsid w:val="533C6B7D"/>
    <w:multiLevelType w:val="multilevel"/>
    <w:tmpl w:val="533C6B7D"/>
    <w:lvl w:ilvl="0">
      <w:start w:val="1"/>
      <w:numFmt w:val="decimal"/>
      <w:lvlText w:val="%1、"/>
      <w:lvlJc w:val="left"/>
      <w:pPr>
        <w:ind w:left="630" w:hanging="360"/>
      </w:pPr>
      <w:rPr>
        <w:rFonts w:hint="default"/>
      </w:rPr>
    </w:lvl>
    <w:lvl w:ilvl="1">
      <w:start w:val="1"/>
      <w:numFmt w:val="lowerLetter"/>
      <w:lvlText w:val="%2)"/>
      <w:lvlJc w:val="left"/>
      <w:pPr>
        <w:ind w:left="1110" w:hanging="420"/>
      </w:pPr>
    </w:lvl>
    <w:lvl w:ilvl="2">
      <w:start w:val="1"/>
      <w:numFmt w:val="lowerRoman"/>
      <w:lvlText w:val="%3."/>
      <w:lvlJc w:val="right"/>
      <w:pPr>
        <w:ind w:left="1530" w:hanging="420"/>
      </w:pPr>
    </w:lvl>
    <w:lvl w:ilvl="3">
      <w:start w:val="1"/>
      <w:numFmt w:val="decimal"/>
      <w:lvlText w:val="%4."/>
      <w:lvlJc w:val="left"/>
      <w:pPr>
        <w:ind w:left="1950" w:hanging="420"/>
      </w:pPr>
    </w:lvl>
    <w:lvl w:ilvl="4">
      <w:start w:val="1"/>
      <w:numFmt w:val="lowerLetter"/>
      <w:lvlText w:val="%5)"/>
      <w:lvlJc w:val="left"/>
      <w:pPr>
        <w:ind w:left="2370" w:hanging="420"/>
      </w:pPr>
    </w:lvl>
    <w:lvl w:ilvl="5">
      <w:start w:val="1"/>
      <w:numFmt w:val="lowerRoman"/>
      <w:lvlText w:val="%6."/>
      <w:lvlJc w:val="right"/>
      <w:pPr>
        <w:ind w:left="2790" w:hanging="420"/>
      </w:pPr>
    </w:lvl>
    <w:lvl w:ilvl="6">
      <w:start w:val="1"/>
      <w:numFmt w:val="decimal"/>
      <w:lvlText w:val="%7."/>
      <w:lvlJc w:val="left"/>
      <w:pPr>
        <w:ind w:left="3210" w:hanging="420"/>
      </w:pPr>
    </w:lvl>
    <w:lvl w:ilvl="7">
      <w:start w:val="1"/>
      <w:numFmt w:val="lowerLetter"/>
      <w:lvlText w:val="%8)"/>
      <w:lvlJc w:val="left"/>
      <w:pPr>
        <w:ind w:left="3630" w:hanging="420"/>
      </w:pPr>
    </w:lvl>
    <w:lvl w:ilvl="8">
      <w:start w:val="1"/>
      <w:numFmt w:val="lowerRoman"/>
      <w:lvlText w:val="%9."/>
      <w:lvlJc w:val="right"/>
      <w:pPr>
        <w:ind w:left="405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kzYzIwOWY2YWNmOWVjMTk3ODJiNjZiYjY0NTg2NWUifQ=="/>
  </w:docVars>
  <w:rsids>
    <w:rsidRoot w:val="00FE5E16"/>
    <w:rsid w:val="0000311C"/>
    <w:rsid w:val="00010AA9"/>
    <w:rsid w:val="00050320"/>
    <w:rsid w:val="00073275"/>
    <w:rsid w:val="00086BF1"/>
    <w:rsid w:val="00087BC2"/>
    <w:rsid w:val="000A493D"/>
    <w:rsid w:val="000A4C5C"/>
    <w:rsid w:val="000A5793"/>
    <w:rsid w:val="000A7D4D"/>
    <w:rsid w:val="000C2682"/>
    <w:rsid w:val="000C41D1"/>
    <w:rsid w:val="000D526E"/>
    <w:rsid w:val="000D6C02"/>
    <w:rsid w:val="000E2879"/>
    <w:rsid w:val="001234C7"/>
    <w:rsid w:val="001506C9"/>
    <w:rsid w:val="0019229D"/>
    <w:rsid w:val="001C5BD4"/>
    <w:rsid w:val="001F2E0C"/>
    <w:rsid w:val="002051D8"/>
    <w:rsid w:val="00217795"/>
    <w:rsid w:val="00245388"/>
    <w:rsid w:val="002A02D4"/>
    <w:rsid w:val="002A781A"/>
    <w:rsid w:val="002D7F46"/>
    <w:rsid w:val="002E4956"/>
    <w:rsid w:val="002F089F"/>
    <w:rsid w:val="002F46A1"/>
    <w:rsid w:val="00313DC1"/>
    <w:rsid w:val="00327983"/>
    <w:rsid w:val="00364CA6"/>
    <w:rsid w:val="003838DC"/>
    <w:rsid w:val="00384662"/>
    <w:rsid w:val="003C61F6"/>
    <w:rsid w:val="00414CEA"/>
    <w:rsid w:val="0043750D"/>
    <w:rsid w:val="0047091B"/>
    <w:rsid w:val="00477C0E"/>
    <w:rsid w:val="0048186F"/>
    <w:rsid w:val="00482ACA"/>
    <w:rsid w:val="00491C47"/>
    <w:rsid w:val="004B1BEE"/>
    <w:rsid w:val="004C3F49"/>
    <w:rsid w:val="004D1632"/>
    <w:rsid w:val="004E6BCB"/>
    <w:rsid w:val="005359B3"/>
    <w:rsid w:val="0054793C"/>
    <w:rsid w:val="00577239"/>
    <w:rsid w:val="005B49BC"/>
    <w:rsid w:val="005C71A9"/>
    <w:rsid w:val="005F78B5"/>
    <w:rsid w:val="00614AA9"/>
    <w:rsid w:val="00615522"/>
    <w:rsid w:val="006171A2"/>
    <w:rsid w:val="00660619"/>
    <w:rsid w:val="0067679D"/>
    <w:rsid w:val="006A6AAE"/>
    <w:rsid w:val="006A6BF4"/>
    <w:rsid w:val="006B1E11"/>
    <w:rsid w:val="006C37B9"/>
    <w:rsid w:val="006D11CC"/>
    <w:rsid w:val="006D41F9"/>
    <w:rsid w:val="006D723C"/>
    <w:rsid w:val="006F10EC"/>
    <w:rsid w:val="007471A4"/>
    <w:rsid w:val="00751D6A"/>
    <w:rsid w:val="00751F76"/>
    <w:rsid w:val="00761A7A"/>
    <w:rsid w:val="00771F1A"/>
    <w:rsid w:val="00790EAB"/>
    <w:rsid w:val="007A24FF"/>
    <w:rsid w:val="007D424F"/>
    <w:rsid w:val="0080155F"/>
    <w:rsid w:val="0082613C"/>
    <w:rsid w:val="00834543"/>
    <w:rsid w:val="008623A1"/>
    <w:rsid w:val="00875C38"/>
    <w:rsid w:val="008A0B3A"/>
    <w:rsid w:val="008A7211"/>
    <w:rsid w:val="008C2640"/>
    <w:rsid w:val="00915A55"/>
    <w:rsid w:val="009276CA"/>
    <w:rsid w:val="009379C4"/>
    <w:rsid w:val="009415B3"/>
    <w:rsid w:val="00945502"/>
    <w:rsid w:val="0096386E"/>
    <w:rsid w:val="00966D47"/>
    <w:rsid w:val="009A46DD"/>
    <w:rsid w:val="009C57A5"/>
    <w:rsid w:val="009D091D"/>
    <w:rsid w:val="009E29D1"/>
    <w:rsid w:val="009E5F14"/>
    <w:rsid w:val="00A05B20"/>
    <w:rsid w:val="00A231A3"/>
    <w:rsid w:val="00A41C75"/>
    <w:rsid w:val="00A5049A"/>
    <w:rsid w:val="00A536C4"/>
    <w:rsid w:val="00A70BAF"/>
    <w:rsid w:val="00A95C0C"/>
    <w:rsid w:val="00AC01EB"/>
    <w:rsid w:val="00B27883"/>
    <w:rsid w:val="00B37B58"/>
    <w:rsid w:val="00B5032B"/>
    <w:rsid w:val="00B52EA6"/>
    <w:rsid w:val="00B82939"/>
    <w:rsid w:val="00BA1884"/>
    <w:rsid w:val="00BB7B5E"/>
    <w:rsid w:val="00BC2112"/>
    <w:rsid w:val="00BC609C"/>
    <w:rsid w:val="00BF0BE3"/>
    <w:rsid w:val="00BF3B9D"/>
    <w:rsid w:val="00C07223"/>
    <w:rsid w:val="00C128C5"/>
    <w:rsid w:val="00C242DB"/>
    <w:rsid w:val="00C632FE"/>
    <w:rsid w:val="00C87560"/>
    <w:rsid w:val="00CB7573"/>
    <w:rsid w:val="00CC4F04"/>
    <w:rsid w:val="00CC55ED"/>
    <w:rsid w:val="00D13D9F"/>
    <w:rsid w:val="00D208C7"/>
    <w:rsid w:val="00D218A8"/>
    <w:rsid w:val="00D277DD"/>
    <w:rsid w:val="00D4412B"/>
    <w:rsid w:val="00D50168"/>
    <w:rsid w:val="00D63461"/>
    <w:rsid w:val="00DA4D5B"/>
    <w:rsid w:val="00DA613D"/>
    <w:rsid w:val="00DD34C5"/>
    <w:rsid w:val="00E73924"/>
    <w:rsid w:val="00E76330"/>
    <w:rsid w:val="00E84843"/>
    <w:rsid w:val="00E90D1D"/>
    <w:rsid w:val="00EA7973"/>
    <w:rsid w:val="00EC2D3B"/>
    <w:rsid w:val="00EC7109"/>
    <w:rsid w:val="00EE4DC9"/>
    <w:rsid w:val="00EE51BB"/>
    <w:rsid w:val="00EF1FF6"/>
    <w:rsid w:val="00F070DA"/>
    <w:rsid w:val="00F204C7"/>
    <w:rsid w:val="00F214E1"/>
    <w:rsid w:val="00F243B4"/>
    <w:rsid w:val="00F7279C"/>
    <w:rsid w:val="00F856D5"/>
    <w:rsid w:val="00FE5E16"/>
    <w:rsid w:val="17F61212"/>
    <w:rsid w:val="37AC1E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1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C61F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C61F6"/>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3C6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3C61F6"/>
    <w:rPr>
      <w:sz w:val="18"/>
      <w:szCs w:val="18"/>
    </w:rPr>
  </w:style>
  <w:style w:type="character" w:customStyle="1" w:styleId="Char">
    <w:name w:val="页脚 Char"/>
    <w:basedOn w:val="a0"/>
    <w:link w:val="a3"/>
    <w:uiPriority w:val="99"/>
    <w:semiHidden/>
    <w:qFormat/>
    <w:rsid w:val="003C61F6"/>
    <w:rPr>
      <w:sz w:val="18"/>
      <w:szCs w:val="18"/>
    </w:rPr>
  </w:style>
  <w:style w:type="paragraph" w:styleId="a6">
    <w:name w:val="List Paragraph"/>
    <w:basedOn w:val="a"/>
    <w:uiPriority w:val="99"/>
    <w:unhideWhenUsed/>
    <w:rsid w:val="003C61F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D37DC-3F67-41C8-9E58-C221E3FB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3</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dc:creator>
  <cp:lastModifiedBy>Administrator</cp:lastModifiedBy>
  <cp:revision>92</cp:revision>
  <cp:lastPrinted>2022-06-23T07:14:00Z</cp:lastPrinted>
  <dcterms:created xsi:type="dcterms:W3CDTF">2018-10-24T16:51:00Z</dcterms:created>
  <dcterms:modified xsi:type="dcterms:W3CDTF">2022-06-23T07:52:00Z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641854A9CEB14D3CA49AAF9FF59D48AB</vt:lpwstr>
  </property>
</Properties>
</file>